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94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94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02/08/2013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8"/>
            <w:vMerge w:val="restart"/>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1180" w:type="dxa"/>
            <w:vAlign w:val="bottom"/>
          </w:tcPr>
          <w:p>
            <w:pPr>
              <w:ind w:left="60"/>
              <w:spacing w:after="0"/>
              <w:rPr>
                <w:sz w:val="20"/>
                <w:szCs w:val="20"/>
                <w:color w:val="auto"/>
              </w:rPr>
            </w:pPr>
            <w:r>
              <w:rPr>
                <w:rFonts w:ascii="Arial" w:cs="Arial" w:eastAsia="Arial" w:hAnsi="Arial"/>
                <w:sz w:val="17"/>
                <w:szCs w:val="17"/>
                <w:color w:val="0000FF"/>
              </w:rPr>
              <w:t>10017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40" w:type="dxa"/>
            <w:vAlign w:val="bottom"/>
            <w:gridSpan w:val="7"/>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1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3"/>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6"/>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983,345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spacing w:after="0"/>
              <w:rPr>
                <w:sz w:val="12"/>
                <w:szCs w:val="12"/>
                <w:color w:val="auto"/>
              </w:rPr>
            </w:pPr>
          </w:p>
        </w:tc>
        <w:tc>
          <w:tcPr>
            <w:tcW w:w="700" w:type="dxa"/>
            <w:vAlign w:val="bottom"/>
          </w:tcPr>
          <w:p>
            <w:pPr>
              <w:jc w:val="center"/>
              <w:ind w:right="16"/>
              <w:spacing w:after="0" w:line="148" w:lineRule="exact"/>
              <w:rPr>
                <w:sz w:val="20"/>
                <w:szCs w:val="20"/>
                <w:color w:val="auto"/>
              </w:rPr>
            </w:pPr>
            <w:r>
              <w:rPr>
                <w:rFonts w:ascii="Arial" w:cs="Arial" w:eastAsia="Arial" w:hAnsi="Arial"/>
                <w:sz w:val="13"/>
                <w:szCs w:val="13"/>
                <w:color w:val="0000FF"/>
                <w:w w:val="93"/>
              </w:rPr>
              <w:t>Stock,</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0000FF"/>
                <w:w w:val="98"/>
              </w:rPr>
              <w:t>2,020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02/08/2013</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580" w:type="dxa"/>
            <w:vAlign w:val="bottom"/>
            <w:vMerge w:val="restart"/>
          </w:tcPr>
          <w:p>
            <w:pPr>
              <w:jc w:val="right"/>
              <w:ind w:right="99"/>
              <w:spacing w:after="0" w:line="148" w:lineRule="exact"/>
              <w:rPr>
                <w:sz w:val="20"/>
                <w:szCs w:val="20"/>
                <w:color w:val="auto"/>
              </w:rPr>
            </w:pPr>
            <w:r>
              <w:rPr>
                <w:rFonts w:ascii="Arial" w:cs="Arial" w:eastAsia="Arial" w:hAnsi="Arial"/>
                <w:sz w:val="13"/>
                <w:szCs w:val="13"/>
                <w:color w:val="0000FF"/>
              </w:rPr>
              <w:t>2,020</w:t>
            </w: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02/08/2023</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5"/>
                <w:szCs w:val="5"/>
                <w:color w:val="auto"/>
              </w:rPr>
            </w:pPr>
          </w:p>
        </w:tc>
        <w:tc>
          <w:tcPr>
            <w:tcW w:w="820" w:type="dxa"/>
            <w:vAlign w:val="bottom"/>
            <w:gridSpan w:val="3"/>
            <w:vMerge w:val="restart"/>
          </w:tcPr>
          <w:p>
            <w:pPr>
              <w:ind w:left="3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jc w:val="right"/>
              <w:ind w:right="200"/>
              <w:spacing w:after="0" w:line="148" w:lineRule="exact"/>
              <w:rPr>
                <w:sz w:val="20"/>
                <w:szCs w:val="20"/>
                <w:color w:val="auto"/>
              </w:rPr>
            </w:pPr>
            <w:r>
              <w:rPr>
                <w:rFonts w:ascii="Arial" w:cs="Arial" w:eastAsia="Arial" w:hAnsi="Arial"/>
                <w:sz w:val="13"/>
                <w:szCs w:val="13"/>
                <w:color w:val="0000FF"/>
              </w:rPr>
              <w:t>2,020</w:t>
            </w:r>
          </w:p>
        </w:tc>
        <w:tc>
          <w:tcPr>
            <w:tcW w:w="58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0"/>
              </w:rPr>
              <w:t>$0.001</w:t>
            </w: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700" w:type="dxa"/>
            <w:vAlign w:val="bottom"/>
          </w:tcPr>
          <w:p>
            <w:pPr>
              <w:spacing w:after="0"/>
              <w:rPr>
                <w:sz w:val="12"/>
                <w:szCs w:val="12"/>
                <w:color w:val="auto"/>
              </w:rPr>
            </w:pPr>
          </w:p>
        </w:tc>
        <w:tc>
          <w:tcPr>
            <w:tcW w:w="700" w:type="dxa"/>
            <w:vAlign w:val="bottom"/>
          </w:tcPr>
          <w:p>
            <w:pPr>
              <w:jc w:val="center"/>
              <w:ind w:right="16"/>
              <w:spacing w:after="0" w:line="148" w:lineRule="exact"/>
              <w:rPr>
                <w:sz w:val="20"/>
                <w:szCs w:val="20"/>
                <w:color w:val="auto"/>
              </w:rPr>
            </w:pPr>
            <w:r>
              <w:rPr>
                <w:rFonts w:ascii="Arial" w:cs="Arial" w:eastAsia="Arial" w:hAnsi="Arial"/>
                <w:sz w:val="13"/>
                <w:szCs w:val="13"/>
                <w:color w:val="0000FF"/>
                <w:w w:val="93"/>
              </w:rPr>
              <w:t>Stock,</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0000FF"/>
                <w:w w:val="88"/>
              </w:rPr>
              <w:t>75,000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02/08/2013</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580" w:type="dxa"/>
            <w:vAlign w:val="bottom"/>
            <w:vMerge w:val="restart"/>
          </w:tcPr>
          <w:p>
            <w:pPr>
              <w:jc w:val="right"/>
              <w:ind w:right="79"/>
              <w:spacing w:after="0" w:line="148" w:lineRule="exact"/>
              <w:rPr>
                <w:sz w:val="20"/>
                <w:szCs w:val="20"/>
                <w:color w:val="auto"/>
              </w:rPr>
            </w:pPr>
            <w:r>
              <w:rPr>
                <w:rFonts w:ascii="Arial" w:cs="Arial" w:eastAsia="Arial" w:hAnsi="Arial"/>
                <w:sz w:val="13"/>
                <w:szCs w:val="13"/>
                <w:color w:val="0000FF"/>
              </w:rPr>
              <w:t>75,000</w:t>
            </w: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restart"/>
          </w:tcPr>
          <w:p>
            <w:pPr>
              <w:ind w:left="20"/>
              <w:spacing w:after="0" w:line="148" w:lineRule="exact"/>
              <w:rPr>
                <w:sz w:val="20"/>
                <w:szCs w:val="20"/>
                <w:color w:val="auto"/>
              </w:rPr>
            </w:pPr>
            <w:r>
              <w:rPr>
                <w:rFonts w:ascii="Arial" w:cs="Arial" w:eastAsia="Arial" w:hAnsi="Arial"/>
                <w:sz w:val="13"/>
                <w:szCs w:val="13"/>
                <w:color w:val="0000FF"/>
              </w:rPr>
              <w:t>02/08/2023</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5"/>
                <w:szCs w:val="5"/>
                <w:color w:val="auto"/>
              </w:rPr>
            </w:pPr>
          </w:p>
        </w:tc>
        <w:tc>
          <w:tcPr>
            <w:tcW w:w="820" w:type="dxa"/>
            <w:vAlign w:val="bottom"/>
            <w:gridSpan w:val="3"/>
            <w:vMerge w:val="restart"/>
          </w:tcPr>
          <w:p>
            <w:pPr>
              <w:ind w:left="3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jc w:val="right"/>
              <w:ind w:right="180"/>
              <w:spacing w:after="0" w:line="148" w:lineRule="exact"/>
              <w:rPr>
                <w:sz w:val="20"/>
                <w:szCs w:val="20"/>
                <w:color w:val="auto"/>
              </w:rPr>
            </w:pPr>
            <w:r>
              <w:rPr>
                <w:rFonts w:ascii="Arial" w:cs="Arial" w:eastAsia="Arial" w:hAnsi="Arial"/>
                <w:sz w:val="13"/>
                <w:szCs w:val="13"/>
                <w:color w:val="0000FF"/>
              </w:rPr>
              <w:t>75,000</w:t>
            </w:r>
          </w:p>
        </w:tc>
        <w:tc>
          <w:tcPr>
            <w:tcW w:w="58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0"/>
              </w:rPr>
              <w:t>$0.001</w:t>
            </w: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 2012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 2005 Grantor Retained Annuity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Shikha Kapoor 2005 Family Trust.</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8, 2014.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four equal annual installments, beginning on February 8, 2014. Vesting will be accelerated upon certain terminations of employment and upon a change in control (as defined in the ExlService Holdings, Inc. 2006 Omnibus Award Plan).</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520"/>
          </w:cols>
          <w:pgMar w:left="240" w:top="225" w:right="139" w:bottom="0" w:gutter="0" w:footer="0" w:header="0"/>
          <w:type w:val="continuous"/>
        </w:sectPr>
      </w:pPr>
    </w:p>
    <w:bookmarkStart w:id="1" w:name="page2"/>
    <w:bookmarkEnd w:id="1"/>
    <w:p>
      <w:pPr>
        <w:jc w:val="both"/>
        <w:ind w:right="2500" w:firstLine="8"/>
        <w:spacing w:after="0" w:line="320"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2019-12-16T15:35:01Z</dcterms:created>
  <dcterms:modified xsi:type="dcterms:W3CDTF">2019-12-16T15:35:01Z</dcterms:modified>
</cp:coreProperties>
</file>