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145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145405"/>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DARDANI EDWARD V</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580"/>
        <w:spacing w:after="0" w:line="331" w:lineRule="auto"/>
        <w:rPr>
          <w:sz w:val="20"/>
          <w:szCs w:val="20"/>
          <w:color w:val="auto"/>
        </w:rPr>
      </w:pPr>
      <w:r>
        <w:rPr>
          <w:rFonts w:ascii="Arial" w:cs="Arial" w:eastAsia="Arial" w:hAnsi="Arial"/>
          <w:sz w:val="18"/>
          <w:szCs w:val="18"/>
          <w:color w:val="0000FF"/>
        </w:rPr>
        <w:t>C/O OAK HILL CAPITAL PARTNERS, L.P. 201 MAIN STREET, SUITE 1620</w:t>
      </w:r>
    </w:p>
    <w:p>
      <w:pPr>
        <w:spacing w:after="0" w:line="20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w w:val="96"/>
              </w:rPr>
              <w:t>FORT WORTH</w:t>
            </w:r>
          </w:p>
        </w:tc>
        <w:tc>
          <w:tcPr>
            <w:tcW w:w="920" w:type="dxa"/>
            <w:vAlign w:val="bottom"/>
          </w:tcPr>
          <w:p>
            <w:pPr>
              <w:ind w:left="80"/>
              <w:spacing w:after="0"/>
              <w:rPr>
                <w:sz w:val="20"/>
                <w:szCs w:val="20"/>
                <w:color w:val="auto"/>
              </w:rPr>
            </w:pPr>
            <w:r>
              <w:rPr>
                <w:rFonts w:ascii="Arial" w:cs="Arial" w:eastAsia="Arial" w:hAnsi="Arial"/>
                <w:sz w:val="18"/>
                <w:szCs w:val="18"/>
                <w:color w:val="0000FF"/>
              </w:rPr>
              <w:t>TX</w:t>
            </w:r>
          </w:p>
        </w:tc>
        <w:tc>
          <w:tcPr>
            <w:tcW w:w="1680" w:type="dxa"/>
            <w:vAlign w:val="bottom"/>
          </w:tcPr>
          <w:p>
            <w:pPr>
              <w:ind w:left="420"/>
              <w:spacing w:after="0"/>
              <w:rPr>
                <w:sz w:val="20"/>
                <w:szCs w:val="20"/>
                <w:color w:val="auto"/>
              </w:rPr>
            </w:pPr>
            <w:r>
              <w:rPr>
                <w:rFonts w:ascii="Arial" w:cs="Arial" w:eastAsia="Arial" w:hAnsi="Arial"/>
                <w:sz w:val="18"/>
                <w:szCs w:val="18"/>
                <w:color w:val="0000FF"/>
              </w:rPr>
              <w:t>76102</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920" w:type="dxa"/>
            <w:vAlign w:val="bottom"/>
          </w:tcPr>
          <w:p>
            <w:pPr>
              <w:ind w:left="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90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ExlService Holdings,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EXLS</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92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10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920" w:type="dxa"/>
            <w:vAlign w:val="bottom"/>
            <w:gridSpan w:val="2"/>
            <w:vMerge w:val="continue"/>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100" w:type="dxa"/>
            <w:vAlign w:val="bottom"/>
            <w:tcBorders>
              <w:bottom w:val="single" w:sz="8" w:color="0000EE"/>
            </w:tcBorders>
          </w:tcPr>
          <w:p>
            <w:pPr>
              <w:spacing w:after="0"/>
              <w:rPr>
                <w:sz w:val="3"/>
                <w:szCs w:val="3"/>
                <w:color w:val="auto"/>
              </w:rPr>
            </w:pPr>
          </w:p>
        </w:tc>
        <w:tc>
          <w:tcPr>
            <w:tcW w:w="16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720" w:type="dxa"/>
            <w:vAlign w:val="bottom"/>
            <w:vMerge w:val="restart"/>
          </w:tcPr>
          <w:p>
            <w:pPr>
              <w:ind w:left="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1"/>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20" w:type="dxa"/>
            <w:vAlign w:val="bottom"/>
            <w:vMerge w:val="continue"/>
          </w:tcPr>
          <w:p>
            <w:pPr>
              <w:spacing w:after="0"/>
              <w:rPr>
                <w:sz w:val="15"/>
                <w:szCs w:val="15"/>
                <w:color w:val="auto"/>
              </w:rPr>
            </w:pPr>
          </w:p>
        </w:tc>
        <w:tc>
          <w:tcPr>
            <w:tcW w:w="15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100" w:type="dxa"/>
            <w:vAlign w:val="bottom"/>
            <w:tcBorders>
              <w:bottom w:val="single" w:sz="8" w:color="2C2C2C"/>
            </w:tcBorders>
          </w:tcPr>
          <w:p>
            <w:pPr>
              <w:spacing w:after="0"/>
              <w:rPr>
                <w:sz w:val="10"/>
                <w:szCs w:val="10"/>
                <w:color w:val="auto"/>
              </w:rPr>
            </w:pPr>
          </w:p>
        </w:tc>
        <w:tc>
          <w:tcPr>
            <w:tcW w:w="168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720" w:type="dxa"/>
            <w:vAlign w:val="bottom"/>
            <w:vMerge w:val="restart"/>
          </w:tcPr>
          <w:p>
            <w:pPr>
              <w:ind w:left="420"/>
              <w:spacing w:after="0"/>
              <w:rPr>
                <w:sz w:val="20"/>
                <w:szCs w:val="20"/>
                <w:color w:val="auto"/>
              </w:rPr>
            </w:pPr>
            <w:r>
              <w:rPr>
                <w:rFonts w:ascii="Arial" w:cs="Arial" w:eastAsia="Arial" w:hAnsi="Arial"/>
                <w:sz w:val="14"/>
                <w:szCs w:val="14"/>
                <w:color w:val="auto"/>
              </w:rPr>
              <w:t>Officer (give title</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67"/>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5"/>
                <w:szCs w:val="5"/>
                <w:color w:val="auto"/>
              </w:rPr>
            </w:pPr>
          </w:p>
        </w:tc>
        <w:tc>
          <w:tcPr>
            <w:tcW w:w="1720" w:type="dxa"/>
            <w:vAlign w:val="bottom"/>
            <w:vMerge w:val="continue"/>
          </w:tcPr>
          <w:p>
            <w:pPr>
              <w:spacing w:after="0"/>
              <w:rPr>
                <w:sz w:val="5"/>
                <w:szCs w:val="5"/>
                <w:color w:val="auto"/>
              </w:rPr>
            </w:pPr>
          </w:p>
        </w:tc>
        <w:tc>
          <w:tcPr>
            <w:tcW w:w="1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7"/>
        </w:trPr>
        <w:tc>
          <w:tcPr>
            <w:tcW w:w="200" w:type="dxa"/>
            <w:vAlign w:val="bottom"/>
            <w:gridSpan w:val="2"/>
            <w:vMerge w:val="continue"/>
          </w:tcPr>
          <w:p>
            <w:pPr>
              <w:spacing w:after="0"/>
              <w:rPr>
                <w:sz w:val="11"/>
                <w:szCs w:val="11"/>
                <w:color w:val="auto"/>
              </w:rPr>
            </w:pPr>
          </w:p>
        </w:tc>
        <w:tc>
          <w:tcPr>
            <w:tcW w:w="378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720" w:type="dxa"/>
            <w:vAlign w:val="bottom"/>
          </w:tcPr>
          <w:p>
            <w:pPr>
              <w:ind w:left="420"/>
              <w:spacing w:after="0" w:line="127" w:lineRule="exact"/>
              <w:rPr>
                <w:sz w:val="20"/>
                <w:szCs w:val="20"/>
                <w:color w:val="auto"/>
              </w:rPr>
            </w:pPr>
            <w:r>
              <w:rPr>
                <w:rFonts w:ascii="Arial" w:cs="Arial" w:eastAsia="Arial" w:hAnsi="Arial"/>
                <w:sz w:val="14"/>
                <w:szCs w:val="14"/>
                <w:color w:val="auto"/>
              </w:rPr>
              <w:t>below)</w:t>
            </w:r>
          </w:p>
        </w:tc>
        <w:tc>
          <w:tcPr>
            <w:tcW w:w="1500" w:type="dxa"/>
            <w:vAlign w:val="bottom"/>
          </w:tcPr>
          <w:p>
            <w:pPr>
              <w:ind w:left="340"/>
              <w:spacing w:after="0" w:line="127"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222"/>
        </w:trPr>
        <w:tc>
          <w:tcPr>
            <w:tcW w:w="2300" w:type="dxa"/>
            <w:vAlign w:val="bottom"/>
            <w:gridSpan w:val="3"/>
          </w:tcPr>
          <w:p>
            <w:pPr>
              <w:ind w:left="80"/>
              <w:spacing w:after="0"/>
              <w:rPr>
                <w:sz w:val="20"/>
                <w:szCs w:val="20"/>
                <w:color w:val="auto"/>
              </w:rPr>
            </w:pPr>
            <w:r>
              <w:rPr>
                <w:rFonts w:ascii="Arial" w:cs="Arial" w:eastAsia="Arial" w:hAnsi="Arial"/>
                <w:sz w:val="18"/>
                <w:szCs w:val="18"/>
                <w:color w:val="0000FF"/>
              </w:rPr>
              <w:t>10/19/2008</w:t>
            </w:r>
          </w:p>
        </w:tc>
        <w:tc>
          <w:tcPr>
            <w:tcW w:w="1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9"/>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10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82" w:lineRule="exact"/>
        <w:rPr>
          <w:sz w:val="24"/>
          <w:szCs w:val="24"/>
          <w:color w:val="auto"/>
        </w:rPr>
      </w:pPr>
    </w:p>
    <w:p>
      <w:pPr>
        <w:sectPr>
          <w:pgSz w:w="11900" w:h="16838" w:orient="portrait"/>
          <w:cols w:equalWidth="0" w:num="2">
            <w:col w:w="3920" w:space="80"/>
            <w:col w:w="752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0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80" w:type="dxa"/>
            <w:vAlign w:val="bottom"/>
          </w:tcPr>
          <w:p>
            <w:pPr>
              <w:ind w:left="8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of Indirect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Beneficial</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840" w:type="dxa"/>
            <w:vAlign w:val="bottom"/>
            <w:vMerge w:val="restart"/>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8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8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8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Common</w:t>
            </w:r>
          </w:p>
        </w:tc>
        <w:tc>
          <w:tcPr>
            <w:tcW w:w="5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Restricted</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740" w:type="dxa"/>
            <w:vAlign w:val="bottom"/>
            <w:vMerge w:val="restart"/>
          </w:tcPr>
          <w:p>
            <w:pPr>
              <w:jc w:val="right"/>
              <w:ind w:right="241"/>
              <w:spacing w:after="0"/>
              <w:rPr>
                <w:sz w:val="20"/>
                <w:szCs w:val="20"/>
                <w:color w:val="auto"/>
              </w:rPr>
            </w:pPr>
            <w:r>
              <w:rPr>
                <w:rFonts w:ascii="Arial" w:cs="Arial" w:eastAsia="Arial" w:hAnsi="Arial"/>
                <w:sz w:val="11"/>
                <w:szCs w:val="11"/>
                <w:color w:val="008000"/>
              </w:rPr>
              <w:t>(1)</w:t>
            </w:r>
          </w:p>
        </w:tc>
        <w:tc>
          <w:tcPr>
            <w:tcW w:w="720" w:type="dxa"/>
            <w:vAlign w:val="bottom"/>
          </w:tcPr>
          <w:p>
            <w:pPr>
              <w:ind w:left="160"/>
              <w:spacing w:after="0" w:line="149" w:lineRule="exact"/>
              <w:rPr>
                <w:sz w:val="20"/>
                <w:szCs w:val="20"/>
                <w:color w:val="auto"/>
              </w:rPr>
            </w:pPr>
            <w:r>
              <w:rPr>
                <w:rFonts w:ascii="Arial" w:cs="Arial" w:eastAsia="Arial" w:hAnsi="Arial"/>
                <w:sz w:val="14"/>
                <w:szCs w:val="14"/>
                <w:color w:val="0000FF"/>
              </w:rPr>
              <w:t>Stock,</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4,000</w:t>
            </w: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720" w:type="dxa"/>
            <w:vAlign w:val="bottom"/>
            <w:vMerge w:val="continue"/>
          </w:tcPr>
          <w:p>
            <w:pPr>
              <w:spacing w:after="0"/>
              <w:rPr>
                <w:sz w:val="5"/>
                <w:szCs w:val="5"/>
                <w:color w:val="auto"/>
              </w:rPr>
            </w:pPr>
          </w:p>
        </w:tc>
        <w:tc>
          <w:tcPr>
            <w:tcW w:w="820" w:type="dxa"/>
            <w:vAlign w:val="bottom"/>
            <w:vMerge w:val="restart"/>
          </w:tcPr>
          <w:p>
            <w:pPr>
              <w:ind w:left="3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1140" w:type="dxa"/>
            <w:vAlign w:val="bottom"/>
            <w:vMerge w:val="restart"/>
          </w:tcPr>
          <w:p>
            <w:pPr>
              <w:jc w:val="right"/>
              <w:ind w:right="198"/>
              <w:spacing w:after="0" w:line="149" w:lineRule="exact"/>
              <w:rPr>
                <w:sz w:val="20"/>
                <w:szCs w:val="20"/>
                <w:color w:val="auto"/>
              </w:rPr>
            </w:pPr>
            <w:r>
              <w:rPr>
                <w:rFonts w:ascii="Arial" w:cs="Arial" w:eastAsia="Arial" w:hAnsi="Arial"/>
                <w:sz w:val="14"/>
                <w:szCs w:val="14"/>
                <w:color w:val="0000FF"/>
              </w:rPr>
              <w:t>10/19/2008</w:t>
            </w:r>
          </w:p>
        </w:tc>
        <w:tc>
          <w:tcPr>
            <w:tcW w:w="1140" w:type="dxa"/>
            <w:vAlign w:val="bottom"/>
          </w:tcPr>
          <w:p>
            <w:pPr>
              <w:spacing w:after="0"/>
              <w:rPr>
                <w:sz w:val="5"/>
                <w:szCs w:val="5"/>
                <w:color w:val="auto"/>
              </w:rPr>
            </w:pPr>
          </w:p>
        </w:tc>
        <w:tc>
          <w:tcPr>
            <w:tcW w:w="82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A</w:t>
            </w:r>
          </w:p>
        </w:tc>
        <w:tc>
          <w:tcPr>
            <w:tcW w:w="500" w:type="dxa"/>
            <w:vAlign w:val="bottom"/>
            <w:vMerge w:val="restart"/>
          </w:tcPr>
          <w:p>
            <w:pPr>
              <w:ind w:left="100"/>
              <w:spacing w:after="0" w:line="149" w:lineRule="exact"/>
              <w:rPr>
                <w:sz w:val="20"/>
                <w:szCs w:val="20"/>
                <w:color w:val="auto"/>
              </w:rPr>
            </w:pPr>
            <w:r>
              <w:rPr>
                <w:rFonts w:ascii="Arial" w:cs="Arial" w:eastAsia="Arial" w:hAnsi="Arial"/>
                <w:sz w:val="14"/>
                <w:szCs w:val="14"/>
                <w:color w:val="0000FF"/>
              </w:rPr>
              <w:t>4,000</w:t>
            </w:r>
          </w:p>
        </w:tc>
        <w:tc>
          <w:tcPr>
            <w:tcW w:w="28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20" w:type="dxa"/>
            <w:vAlign w:val="bottom"/>
            <w:vMerge w:val="restart"/>
          </w:tcPr>
          <w:p>
            <w:pPr>
              <w:ind w:left="80"/>
              <w:spacing w:after="0" w:line="149" w:lineRule="exact"/>
              <w:rPr>
                <w:sz w:val="20"/>
                <w:szCs w:val="20"/>
                <w:color w:val="auto"/>
              </w:rPr>
            </w:pPr>
            <w:r>
              <w:rPr>
                <w:rFonts w:ascii="Arial" w:cs="Arial" w:eastAsia="Arial" w:hAnsi="Arial"/>
                <w:sz w:val="14"/>
                <w:szCs w:val="14"/>
                <w:color w:val="0000FF"/>
              </w:rPr>
              <w:t>par value</w:t>
            </w:r>
          </w:p>
        </w:tc>
        <w:tc>
          <w:tcPr>
            <w:tcW w:w="540" w:type="dxa"/>
            <w:vAlign w:val="bottom"/>
            <w:vMerge w:val="continue"/>
          </w:tcPr>
          <w:p>
            <w:pPr>
              <w:spacing w:after="0"/>
              <w:rPr>
                <w:sz w:val="5"/>
                <w:szCs w:val="5"/>
                <w:color w:val="auto"/>
              </w:rPr>
            </w:pPr>
          </w:p>
        </w:tc>
        <w:tc>
          <w:tcPr>
            <w:tcW w:w="720" w:type="dxa"/>
            <w:vAlign w:val="bottom"/>
            <w:vMerge w:val="restart"/>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80" w:type="dxa"/>
            <w:vAlign w:val="bottom"/>
            <w:vMerge w:val="restart"/>
          </w:tcPr>
          <w:p>
            <w:pPr>
              <w:ind w:left="300"/>
              <w:spacing w:after="0" w:line="149" w:lineRule="exact"/>
              <w:rPr>
                <w:sz w:val="20"/>
                <w:szCs w:val="20"/>
                <w:color w:val="auto"/>
              </w:rPr>
            </w:pPr>
            <w:r>
              <w:rPr>
                <w:rFonts w:ascii="Arial" w:cs="Arial" w:eastAsia="Arial" w:hAnsi="Arial"/>
                <w:sz w:val="14"/>
                <w:szCs w:val="14"/>
                <w:color w:val="0000FF"/>
              </w:rPr>
              <w:t>12,000</w:t>
            </w:r>
          </w:p>
        </w:tc>
        <w:tc>
          <w:tcPr>
            <w:tcW w:w="76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9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vMerge w:val="restart"/>
          </w:tcPr>
          <w:p>
            <w:pPr>
              <w:ind w:left="140"/>
              <w:spacing w:after="0"/>
              <w:rPr>
                <w:sz w:val="20"/>
                <w:szCs w:val="20"/>
                <w:color w:val="auto"/>
              </w:rPr>
            </w:pPr>
            <w:r>
              <w:rPr>
                <w:rFonts w:ascii="Arial" w:cs="Arial" w:eastAsia="Arial" w:hAnsi="Arial"/>
                <w:sz w:val="14"/>
                <w:szCs w:val="14"/>
                <w:color w:val="0000FF"/>
              </w:rPr>
              <w:t>$0.001</w:t>
            </w:r>
          </w:p>
        </w:tc>
        <w:tc>
          <w:tcPr>
            <w:tcW w:w="5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9"/>
        </w:trPr>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Pr>
          <w:p>
            <w:pPr>
              <w:spacing w:after="0"/>
              <w:rPr>
                <w:sz w:val="6"/>
                <w:szCs w:val="6"/>
                <w:color w:val="auto"/>
              </w:rPr>
            </w:pPr>
          </w:p>
        </w:tc>
        <w:tc>
          <w:tcPr>
            <w:tcW w:w="500" w:type="dxa"/>
            <w:vAlign w:val="bottom"/>
          </w:tcPr>
          <w:p>
            <w:pPr>
              <w:spacing w:after="0"/>
              <w:rPr>
                <w:sz w:val="6"/>
                <w:szCs w:val="6"/>
                <w:color w:val="auto"/>
              </w:rPr>
            </w:pPr>
          </w:p>
        </w:tc>
        <w:tc>
          <w:tcPr>
            <w:tcW w:w="280" w:type="dxa"/>
            <w:vAlign w:val="bottom"/>
          </w:tcPr>
          <w:p>
            <w:pPr>
              <w:spacing w:after="0"/>
              <w:rPr>
                <w:sz w:val="6"/>
                <w:szCs w:val="6"/>
                <w:color w:val="auto"/>
              </w:rPr>
            </w:pPr>
          </w:p>
        </w:tc>
        <w:tc>
          <w:tcPr>
            <w:tcW w:w="8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720" w:type="dxa"/>
            <w:vAlign w:val="bottom"/>
          </w:tcPr>
          <w:p>
            <w:pPr>
              <w:spacing w:after="0"/>
              <w:rPr>
                <w:sz w:val="6"/>
                <w:szCs w:val="6"/>
                <w:color w:val="auto"/>
              </w:rPr>
            </w:pPr>
          </w:p>
        </w:tc>
        <w:tc>
          <w:tcPr>
            <w:tcW w:w="980" w:type="dxa"/>
            <w:vAlign w:val="bottom"/>
          </w:tcPr>
          <w:p>
            <w:pPr>
              <w:spacing w:after="0"/>
              <w:rPr>
                <w:sz w:val="6"/>
                <w:szCs w:val="6"/>
                <w:color w:val="auto"/>
              </w:rPr>
            </w:pPr>
          </w:p>
        </w:tc>
        <w:tc>
          <w:tcPr>
            <w:tcW w:w="760" w:type="dxa"/>
            <w:vAlign w:val="bottom"/>
          </w:tcPr>
          <w:p>
            <w:pPr>
              <w:spacing w:after="0"/>
              <w:rPr>
                <w:sz w:val="6"/>
                <w:szCs w:val="6"/>
                <w:color w:val="auto"/>
              </w:rPr>
            </w:pPr>
          </w:p>
        </w:tc>
        <w:tc>
          <w:tcPr>
            <w:tcW w:w="78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7080"/>
        <w:spacing w:after="0"/>
        <w:rPr>
          <w:sz w:val="20"/>
          <w:szCs w:val="20"/>
          <w:color w:val="auto"/>
        </w:rPr>
      </w:pPr>
      <w:r>
        <w:rPr>
          <w:rFonts w:ascii="Arial" w:cs="Arial" w:eastAsia="Arial" w:hAnsi="Arial"/>
          <w:sz w:val="14"/>
          <w:szCs w:val="14"/>
          <w:color w:val="0000FF"/>
        </w:rPr>
        <w:t>per share</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60" w:firstLine="9"/>
        <w:spacing w:after="0" w:line="230"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restricted stock vests upon the earlier of (i) the first anniversary of the date of grant, (ii) the end of the reporting person's term on the Board of Directors of ExlService Holdings, Inc. (the "Board") if such person is not subsequently elected to a new term on the Board, and (iii) the occurrence of a "Change in Control", as defined in the ExlService Holdings, Inc. 2006 Omnibus Award Plan (the "2006 Plan"), and such awards settle upon the earlier of (i) the reporting person's death, (ii) the occurrence of a "Change of Control", as defined in the 2006 Plan and (iii) 180 days following the end of the reporting person's term on the Board.</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10/21/2008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3897"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2019-12-16T14:56:54Z</dcterms:created>
  <dcterms:modified xsi:type="dcterms:W3CDTF">2019-12-16T14:56:54Z</dcterms:modified>
</cp:coreProperties>
</file>