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kstm1923750d1_4"/>
      <w:bookmarkEnd w:id="0"/>
      <w:r>
        <w:rPr/>
        <w:t xml:space="preserve">SEC Form 4 </w:t>
      </w:r>
    </w:p>
    <w:tbl>
      <w:tblPr>
        <w:tblW w:w="5000" w:type="pct"/>
        <w:jc w:val="left"/>
        <w:tblInd w:w="0" w:type="dxa"/>
        <w:tblCellMar>
          <w:top w:w="60" w:type="dxa"/>
          <w:left w:w="60" w:type="dxa"/>
          <w:bottom w:w="60" w:type="dxa"/>
          <w:right w:w="60" w:type="dxa"/>
        </w:tblCellMar>
      </w:tblPr>
      <w:tblGrid>
        <w:gridCol w:w="360"/>
        <w:gridCol w:w="1952"/>
        <w:gridCol w:w="6170"/>
        <w:gridCol w:w="2057"/>
      </w:tblGrid>
      <w:tr>
        <w:trPr/>
        <w:tc>
          <w:tcPr>
            <w:tcW w:w="2312"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6170"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57"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37"/>
            </w:tblGrid>
            <w:tr>
              <w:trPr/>
              <w:tc>
                <w:tcPr>
                  <w:tcW w:w="1937"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88"/>
                    <w:gridCol w:w="693"/>
                  </w:tblGrid>
                  <w:tr>
                    <w:trPr/>
                    <w:tc>
                      <w:tcPr>
                        <w:tcW w:w="11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93"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81"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93"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37"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952"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6170" w:type="dxa"/>
            <w:vMerge w:val="continue"/>
            <w:tcBorders/>
            <w:shd w:fill="auto" w:val="clear"/>
            <w:vAlign w:val="center"/>
          </w:tcPr>
          <w:p>
            <w:pPr>
              <w:pStyle w:val="Normal"/>
              <w:rPr/>
            </w:pPr>
            <w:r>
              <w:rPr/>
            </w:r>
          </w:p>
        </w:tc>
        <w:tc>
          <w:tcPr>
            <w:tcW w:w="2057"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688"/>
        <w:gridCol w:w="3688"/>
        <w:gridCol w:w="3163"/>
      </w:tblGrid>
      <w:tr>
        <w:trPr/>
        <w:tc>
          <w:tcPr>
            <w:tcW w:w="3688"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568"/>
            </w:tblGrid>
            <w:tr>
              <w:trPr/>
              <w:tc>
                <w:tcPr>
                  <w:tcW w:w="3568" w:type="dxa"/>
                  <w:tcBorders/>
                  <w:shd w:fill="auto" w:val="clear"/>
                  <w:vAlign w:val="center"/>
                </w:tcPr>
                <w:p>
                  <w:pPr>
                    <w:pStyle w:val="TableContents"/>
                    <w:spacing w:before="0" w:after="283"/>
                    <w:rPr/>
                  </w:pPr>
                  <w:hyperlink r:id="rId3">
                    <w:r>
                      <w:rPr>
                        <w:rStyle w:val="InternetLink"/>
                      </w:rPr>
                      <w:t>Kapoor Rohit</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89"/>
              <w:gridCol w:w="1189"/>
              <w:gridCol w:w="1190"/>
            </w:tblGrid>
            <w:tr>
              <w:trPr/>
              <w:tc>
                <w:tcPr>
                  <w:tcW w:w="11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9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568"/>
            </w:tblGrid>
            <w:tr>
              <w:trPr/>
              <w:tc>
                <w:tcPr>
                  <w:tcW w:w="3568"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280 PARK AVENUE</w:t>
                  </w:r>
                </w:p>
              </w:tc>
            </w:tr>
            <w:tr>
              <w:trPr/>
              <w:tc>
                <w:tcPr>
                  <w:tcW w:w="3568"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89"/>
              <w:gridCol w:w="1189"/>
              <w:gridCol w:w="1190"/>
            </w:tblGrid>
            <w:tr>
              <w:trPr/>
              <w:tc>
                <w:tcPr>
                  <w:tcW w:w="1189"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189"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9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89"/>
              <w:gridCol w:w="1189"/>
              <w:gridCol w:w="1190"/>
            </w:tblGrid>
            <w:tr>
              <w:trPr/>
              <w:tc>
                <w:tcPr>
                  <w:tcW w:w="11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9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688"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ExlService Holdings, Inc.</w:t>
              </w:r>
            </w:hyperlink>
            <w:r>
              <w:rPr/>
              <w:t xml:space="preserve"> [ </w:t>
            </w:r>
            <w:r>
              <w:rPr>
                <w:rFonts w:ascii="Times;serif" w:hAnsi="Times;serif"/>
                <w:color w:val="0000FF"/>
                <w:sz w:val="24"/>
                <w:highlight w:val="white"/>
              </w:rPr>
              <w:t>EXLS</w:t>
            </w:r>
            <w:r>
              <w:rPr/>
              <w:t xml:space="preserve"> ] </w:t>
            </w:r>
          </w:p>
        </w:tc>
        <w:tc>
          <w:tcPr>
            <w:tcW w:w="316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56"/>
              <w:gridCol w:w="1065"/>
              <w:gridCol w:w="456"/>
              <w:gridCol w:w="1066"/>
            </w:tblGrid>
            <w:tr>
              <w:trPr/>
              <w:tc>
                <w:tcPr>
                  <w:tcW w:w="456"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5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56"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5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3043"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CEO &amp; Vice Chairman</w:t>
                  </w:r>
                  <w:r>
                    <w:rPr/>
                    <w:t xml:space="preserve"> </w:t>
                  </w:r>
                </w:p>
              </w:tc>
            </w:tr>
          </w:tbl>
          <w:p>
            <w:pPr>
              <w:pStyle w:val="TableContents"/>
              <w:spacing w:before="0" w:after="283"/>
              <w:rPr>
                <w:sz w:val="4"/>
                <w:szCs w:val="4"/>
              </w:rPr>
            </w:pPr>
            <w:r>
              <w:rPr>
                <w:sz w:val="4"/>
                <w:szCs w:val="4"/>
              </w:rPr>
            </w:r>
          </w:p>
        </w:tc>
      </w:tr>
      <w:tr>
        <w:trPr/>
        <w:tc>
          <w:tcPr>
            <w:tcW w:w="3688"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688"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11/20/2019</w:t>
            </w:r>
            <w:r>
              <w:rPr/>
              <w:t xml:space="preserve"> </w:t>
            </w:r>
          </w:p>
        </w:tc>
        <w:tc>
          <w:tcPr>
            <w:tcW w:w="316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688"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688"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163"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55"/>
              <w:gridCol w:w="2588"/>
            </w:tblGrid>
            <w:tr>
              <w:trPr/>
              <w:tc>
                <w:tcPr>
                  <w:tcW w:w="455"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55" w:type="dxa"/>
                  <w:tcBorders/>
                  <w:shd w:fill="auto" w:val="clear"/>
                  <w:vAlign w:val="center"/>
                </w:tcPr>
                <w:p>
                  <w:pPr>
                    <w:pStyle w:val="TableContents"/>
                    <w:spacing w:before="0" w:after="283"/>
                    <w:rPr>
                      <w:sz w:val="4"/>
                      <w:szCs w:val="4"/>
                    </w:rPr>
                  </w:pPr>
                  <w:r>
                    <w:rPr>
                      <w:sz w:val="4"/>
                      <w:szCs w:val="4"/>
                    </w:rPr>
                  </w:r>
                </w:p>
              </w:tc>
              <w:tc>
                <w:tcPr>
                  <w:tcW w:w="25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96"/>
        <w:gridCol w:w="906"/>
        <w:gridCol w:w="775"/>
        <w:gridCol w:w="602"/>
        <w:gridCol w:w="353"/>
        <w:gridCol w:w="862"/>
        <w:gridCol w:w="467"/>
        <w:gridCol w:w="804"/>
        <w:gridCol w:w="1185"/>
        <w:gridCol w:w="1014"/>
        <w:gridCol w:w="1075"/>
      </w:tblGrid>
      <w:tr>
        <w:trPr>
          <w:tblHeader w:val="true"/>
        </w:trPr>
        <w:tc>
          <w:tcPr>
            <w:tcW w:w="10539"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96"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96"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6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0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8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1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7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96"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$0.001 per share</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11/20/2019</w:t>
            </w:r>
          </w:p>
        </w:tc>
        <w:tc>
          <w:tcPr>
            <w:tcW w:w="77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5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2,960</w:t>
            </w:r>
          </w:p>
        </w:tc>
        <w:tc>
          <w:tcPr>
            <w:tcW w:w="46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69.91</w:t>
            </w:r>
            <w:r>
              <w:rPr>
                <w:rFonts w:ascii="Times;serif" w:hAnsi="Times;serif"/>
                <w:color w:val="008000"/>
                <w:position w:val="7"/>
                <w:sz w:val="16"/>
                <w:sz w:val="20"/>
                <w:highlight w:val="white"/>
              </w:rPr>
              <w:t>(2)</w:t>
            </w:r>
            <w:r>
              <w:rPr/>
              <w:t xml:space="preserve"> </w:t>
            </w:r>
          </w:p>
        </w:tc>
        <w:tc>
          <w:tcPr>
            <w:tcW w:w="118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217,566</w:t>
            </w:r>
          </w:p>
        </w:tc>
        <w:tc>
          <w:tcPr>
            <w:tcW w:w="10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7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496"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$0.001 per share</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11/20/2019</w:t>
            </w:r>
          </w:p>
        </w:tc>
        <w:tc>
          <w:tcPr>
            <w:tcW w:w="77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(3)</w:t>
            </w:r>
            <w:r>
              <w:rPr/>
              <w:t xml:space="preserve"> </w:t>
            </w:r>
          </w:p>
        </w:tc>
        <w:tc>
          <w:tcPr>
            <w:tcW w:w="35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2,645</w:t>
            </w:r>
          </w:p>
        </w:tc>
        <w:tc>
          <w:tcPr>
            <w:tcW w:w="46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69.9</w:t>
            </w:r>
            <w:r>
              <w:rPr/>
              <w:t xml:space="preserve"> </w:t>
            </w:r>
          </w:p>
        </w:tc>
        <w:tc>
          <w:tcPr>
            <w:tcW w:w="118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288,429</w:t>
            </w:r>
          </w:p>
        </w:tc>
        <w:tc>
          <w:tcPr>
            <w:tcW w:w="10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7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(4)</w:t>
            </w:r>
            <w:r>
              <w:rPr/>
              <w:t xml:space="preserve"> </w:t>
            </w:r>
          </w:p>
        </w:tc>
      </w:tr>
      <w:tr>
        <w:trPr/>
        <w:tc>
          <w:tcPr>
            <w:tcW w:w="2496"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$0.001 per share</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5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6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6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8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40,219</w:t>
            </w:r>
          </w:p>
        </w:tc>
        <w:tc>
          <w:tcPr>
            <w:tcW w:w="10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7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(5)</w:t>
            </w:r>
            <w:r>
              <w:rPr/>
              <w:t xml:space="preserve"> </w:t>
            </w:r>
          </w:p>
        </w:tc>
      </w:tr>
      <w:tr>
        <w:trPr/>
        <w:tc>
          <w:tcPr>
            <w:tcW w:w="2496"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$0.001 per share</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5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6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6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8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177,134</w:t>
            </w:r>
          </w:p>
        </w:tc>
        <w:tc>
          <w:tcPr>
            <w:tcW w:w="10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7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(6)</w:t>
            </w:r>
            <w:r>
              <w:rPr/>
              <w:t xml:space="preserve"> </w:t>
            </w:r>
          </w:p>
        </w:tc>
      </w:tr>
      <w:tr>
        <w:trPr/>
        <w:tc>
          <w:tcPr>
            <w:tcW w:w="2496"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$0.001 per share</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5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6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6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8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84,000</w:t>
            </w:r>
          </w:p>
        </w:tc>
        <w:tc>
          <w:tcPr>
            <w:tcW w:w="10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7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(7)</w:t>
            </w:r>
            <w:r>
              <w:rPr/>
              <w:t xml:space="preserve"> </w:t>
            </w:r>
          </w:p>
        </w:tc>
      </w:tr>
      <w:tr>
        <w:trPr/>
        <w:tc>
          <w:tcPr>
            <w:tcW w:w="2496"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$0.001 per share</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5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6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6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8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84,000</w:t>
            </w:r>
          </w:p>
        </w:tc>
        <w:tc>
          <w:tcPr>
            <w:tcW w:w="101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7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(8)</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539"/>
      </w:tblGrid>
      <w:tr>
        <w:trPr/>
        <w:tc>
          <w:tcPr>
            <w:tcW w:w="10539"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This sale was made pursuant to a 10b5-1 plan previously entered into by the reporting person.</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This transaction was executed in multiple trades at prices ranging from $69.90 to $69.91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This sale was made pursuant to a 10b5-1 plan previously entered into by the Rohit Kapoor 2016 Family Trust.</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Owned by the Rohit Kapoor 2016 Family Trust.</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Owned by the 2016 Kapoor Family Trust Created Under the Rohit Kapoor 2013 GRAT.</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Owned by the 2016 Kapoor Family Trust Created Under the Rohit Kapoor 2005 GRAT.</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Owned by the Rohit Kapoor Spousal Lifetime Access Trust.</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8. Owned by the Shikha Kapoor 2005 Family Trust.</w:t>
            </w:r>
          </w:p>
        </w:tc>
      </w:tr>
      <w:tr>
        <w:trPr/>
        <w:tc>
          <w:tcPr>
            <w:tcW w:w="10539"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Mr. Oseni is the Company's Head of Administration and Accounts.</w:t>
            </w:r>
          </w:p>
        </w:tc>
      </w:tr>
    </w:tbl>
    <w:tbl>
      <w:tblPr>
        <w:tblW w:w="5000" w:type="pct"/>
        <w:jc w:val="left"/>
        <w:tblInd w:w="0" w:type="dxa"/>
        <w:tblCellMar>
          <w:top w:w="28" w:type="dxa"/>
          <w:left w:w="28" w:type="dxa"/>
          <w:bottom w:w="28" w:type="dxa"/>
          <w:right w:w="28" w:type="dxa"/>
        </w:tblCellMar>
      </w:tblPr>
      <w:tblGrid>
        <w:gridCol w:w="6323"/>
        <w:gridCol w:w="2108"/>
        <w:gridCol w:w="2108"/>
      </w:tblGrid>
      <w:tr>
        <w:trPr/>
        <w:tc>
          <w:tcPr>
            <w:tcW w:w="6323" w:type="dxa"/>
            <w:tcBorders/>
            <w:shd w:fill="auto" w:val="clear"/>
            <w:vAlign w:val="center"/>
          </w:tcPr>
          <w:p>
            <w:pPr>
              <w:pStyle w:val="TableContents"/>
              <w:spacing w:before="0" w:after="283"/>
              <w:rPr>
                <w:sz w:val="4"/>
                <w:szCs w:val="4"/>
              </w:rPr>
            </w:pPr>
            <w:r>
              <w:rPr>
                <w:sz w:val="4"/>
                <w:szCs w:val="4"/>
              </w:rPr>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Lazbart Oseni, Attorney-in-Fact</w:t>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11/22/2019</w:t>
            </w:r>
          </w:p>
        </w:tc>
      </w:tr>
      <w:tr>
        <w:trPr/>
        <w:tc>
          <w:tcPr>
            <w:tcW w:w="6323" w:type="dxa"/>
            <w:tcBorders/>
            <w:shd w:fill="auto" w:val="clear"/>
            <w:vAlign w:val="center"/>
          </w:tcPr>
          <w:p>
            <w:pPr>
              <w:pStyle w:val="TableContents"/>
              <w:spacing w:before="0" w:after="283"/>
              <w:rPr>
                <w:sz w:val="4"/>
                <w:szCs w:val="4"/>
              </w:rPr>
            </w:pPr>
            <w:r>
              <w:rPr>
                <w:sz w:val="4"/>
                <w:szCs w:val="4"/>
              </w:rPr>
            </w:r>
          </w:p>
        </w:tc>
        <w:tc>
          <w:tcPr>
            <w:tcW w:w="210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10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539"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539"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539"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539"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539"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sectPr>
      <w:type w:val="nextPage"/>
      <w:pgSz w:w="11906" w:h="16838"/>
      <w:pgMar w:left="216" w:right="216" w:header="0" w:top="216" w:footer="0" w:bottom="216"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cgi-bin/browse-edgar%3Faction=getcompany&amp;CIK=0001373630" TargetMode="External"/><Relationship Id="rId4" Type="http://schemas.openxmlformats.org/officeDocument/2006/relationships/hyperlink" Target="../../../../cgi-bin/browse-edgar%3Faction=getcompany&amp;CIK=0001297989" TargetMode="External"/><Relationship Id="rId5" Type="http://schemas.openxmlformats.org/officeDocument/2006/relationships/fontTable" Target="fontTable.xml"/><Relationship Id="rId6" Type="http://schemas.openxmlformats.org/officeDocument/2006/relationships/settings" Target="settings.xml"/></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750</Words>
  <CharactersWithSpaces>4624</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