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375"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355"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Sections 13 or 15(d) of the Securities Exchange Act of 1934</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Date of Report (Date of earliest event reported): February 5, 2008</w:t>
      </w:r>
    </w:p>
    <w:p>
      <w:pPr>
        <w:spacing w:after="0" w:line="315"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94" w:lineRule="exact"/>
        <w:rPr>
          <w:sz w:val="24"/>
          <w:szCs w:val="24"/>
          <w:color w:val="auto"/>
        </w:rPr>
      </w:pPr>
    </w:p>
    <w:tbl>
      <w:tblPr>
        <w:tblLayout w:type="fixed"/>
        <w:tblInd w:w="2080" w:type="dxa"/>
        <w:tblCellMar>
          <w:top w:w="0" w:type="dxa"/>
          <w:left w:w="0" w:type="dxa"/>
          <w:bottom w:w="0" w:type="dxa"/>
          <w:right w:w="0" w:type="dxa"/>
        </w:tblCellMar>
      </w:tblPr>
      <w:tr>
        <w:trPr>
          <w:trHeight w:val="218"/>
        </w:trPr>
        <w:tc>
          <w:tcPr>
            <w:tcW w:w="1920" w:type="dxa"/>
            <w:vAlign w:val="bottom"/>
          </w:tcPr>
          <w:p>
            <w:pPr>
              <w:jc w:val="center"/>
              <w:ind w:right="306"/>
              <w:spacing w:after="0"/>
              <w:rPr>
                <w:sz w:val="20"/>
                <w:szCs w:val="20"/>
                <w:color w:val="auto"/>
              </w:rPr>
            </w:pPr>
            <w:r>
              <w:rPr>
                <w:rFonts w:ascii="Arial" w:cs="Arial" w:eastAsia="Arial" w:hAnsi="Arial"/>
                <w:sz w:val="18"/>
                <w:szCs w:val="18"/>
                <w:b w:val="1"/>
                <w:bCs w:val="1"/>
                <w:color w:val="auto"/>
                <w:w w:val="88"/>
              </w:rPr>
              <w:t>Delaware</w:t>
            </w:r>
          </w:p>
        </w:tc>
        <w:tc>
          <w:tcPr>
            <w:tcW w:w="3620" w:type="dxa"/>
            <w:vAlign w:val="bottom"/>
          </w:tcPr>
          <w:p>
            <w:pPr>
              <w:jc w:val="center"/>
              <w:ind w:right="16"/>
              <w:spacing w:after="0"/>
              <w:rPr>
                <w:sz w:val="20"/>
                <w:szCs w:val="20"/>
                <w:color w:val="auto"/>
              </w:rPr>
            </w:pPr>
            <w:r>
              <w:rPr>
                <w:rFonts w:ascii="Arial" w:cs="Arial" w:eastAsia="Arial" w:hAnsi="Arial"/>
                <w:sz w:val="18"/>
                <w:szCs w:val="18"/>
                <w:b w:val="1"/>
                <w:bCs w:val="1"/>
                <w:color w:val="auto"/>
                <w:w w:val="88"/>
              </w:rPr>
              <w:t>001-33089</w:t>
            </w:r>
          </w:p>
        </w:tc>
        <w:tc>
          <w:tcPr>
            <w:tcW w:w="1540" w:type="dxa"/>
            <w:vAlign w:val="bottom"/>
          </w:tcPr>
          <w:p>
            <w:pPr>
              <w:jc w:val="center"/>
              <w:ind w:left="386"/>
              <w:spacing w:after="0"/>
              <w:rPr>
                <w:sz w:val="20"/>
                <w:szCs w:val="20"/>
                <w:color w:val="auto"/>
              </w:rPr>
            </w:pPr>
            <w:r>
              <w:rPr>
                <w:rFonts w:ascii="Arial" w:cs="Arial" w:eastAsia="Arial" w:hAnsi="Arial"/>
                <w:sz w:val="18"/>
                <w:szCs w:val="18"/>
                <w:b w:val="1"/>
                <w:bCs w:val="1"/>
                <w:color w:val="auto"/>
                <w:w w:val="87"/>
              </w:rPr>
              <w:t>82-0572194</w:t>
            </w:r>
          </w:p>
        </w:tc>
        <w:tc>
          <w:tcPr>
            <w:tcW w:w="0" w:type="dxa"/>
            <w:vAlign w:val="bottom"/>
          </w:tcPr>
          <w:p>
            <w:pPr>
              <w:spacing w:after="0"/>
              <w:rPr>
                <w:sz w:val="1"/>
                <w:szCs w:val="1"/>
                <w:color w:val="auto"/>
              </w:rPr>
            </w:pPr>
          </w:p>
        </w:tc>
      </w:tr>
      <w:tr>
        <w:trPr>
          <w:trHeight w:val="149"/>
        </w:trPr>
        <w:tc>
          <w:tcPr>
            <w:tcW w:w="1920" w:type="dxa"/>
            <w:vAlign w:val="bottom"/>
          </w:tcPr>
          <w:p>
            <w:pPr>
              <w:jc w:val="center"/>
              <w:ind w:right="30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(Commission File Number)</w:t>
            </w:r>
          </w:p>
        </w:tc>
        <w:tc>
          <w:tcPr>
            <w:tcW w:w="1540" w:type="dxa"/>
            <w:vAlign w:val="bottom"/>
          </w:tcPr>
          <w:p>
            <w:pPr>
              <w:jc w:val="center"/>
              <w:ind w:left="40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1920" w:type="dxa"/>
            <w:vAlign w:val="bottom"/>
          </w:tcPr>
          <w:p>
            <w:pPr>
              <w:jc w:val="center"/>
              <w:ind w:right="306"/>
              <w:spacing w:after="0"/>
              <w:rPr>
                <w:sz w:val="20"/>
                <w:szCs w:val="20"/>
                <w:color w:val="auto"/>
              </w:rPr>
            </w:pPr>
            <w:r>
              <w:rPr>
                <w:rFonts w:ascii="Arial" w:cs="Arial" w:eastAsia="Arial" w:hAnsi="Arial"/>
                <w:sz w:val="14"/>
                <w:szCs w:val="14"/>
                <w:b w:val="1"/>
                <w:bCs w:val="1"/>
                <w:color w:val="auto"/>
                <w:w w:val="87"/>
              </w:rPr>
              <w:t>of incorporation)</w:t>
            </w:r>
          </w:p>
        </w:tc>
        <w:tc>
          <w:tcPr>
            <w:tcW w:w="3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350 Park Avenue</w:t>
            </w:r>
          </w:p>
        </w:tc>
        <w:tc>
          <w:tcPr>
            <w:tcW w:w="1540" w:type="dxa"/>
            <w:vAlign w:val="bottom"/>
          </w:tcPr>
          <w:p>
            <w:pPr>
              <w:jc w:val="center"/>
              <w:ind w:left="40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202"/>
        </w:trPr>
        <w:tc>
          <w:tcPr>
            <w:tcW w:w="1920" w:type="dxa"/>
            <w:vAlign w:val="bottom"/>
          </w:tcPr>
          <w:p>
            <w:pPr>
              <w:spacing w:after="0"/>
              <w:rPr>
                <w:sz w:val="17"/>
                <w:szCs w:val="17"/>
                <w:color w:val="auto"/>
              </w:rPr>
            </w:pPr>
          </w:p>
        </w:tc>
        <w:tc>
          <w:tcPr>
            <w:tcW w:w="362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92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New York 10022</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92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9" w:lineRule="exact"/>
        <w:rPr>
          <w:sz w:val="24"/>
          <w:szCs w:val="24"/>
          <w:color w:val="auto"/>
        </w:rPr>
      </w:pPr>
    </w:p>
    <w:p>
      <w:pPr>
        <w:ind w:left="2760"/>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(212) 277-7100</w:t>
      </w:r>
    </w:p>
    <w:p>
      <w:pPr>
        <w:spacing w:after="0" w:line="368"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819"/>
        <w:spacing w:after="0"/>
        <w:rPr>
          <w:sz w:val="20"/>
          <w:szCs w:val="20"/>
          <w:color w:val="auto"/>
        </w:rPr>
      </w:pPr>
      <w:r>
        <w:rPr>
          <w:rFonts w:ascii="Arial" w:cs="Arial" w:eastAsia="Arial" w:hAnsi="Arial"/>
          <w:sz w:val="18"/>
          <w:szCs w:val="18"/>
          <w:color w:val="auto"/>
        </w:rPr>
        <w:t>(Former name or address, if changed since last report)</w:t>
      </w:r>
    </w:p>
    <w:p>
      <w:pPr>
        <w:spacing w:after="0" w:line="16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3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600"/>
          </w:cols>
          <w:pgMar w:left="240" w:top="219" w:right="10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1.01 </w:t>
      </w:r>
      <w:r>
        <w:rPr>
          <w:rFonts w:ascii="Arial" w:cs="Arial" w:eastAsia="Arial" w:hAnsi="Arial"/>
          <w:sz w:val="18"/>
          <w:szCs w:val="18"/>
          <w:b w:val="1"/>
          <w:bCs w:val="1"/>
          <w:u w:val="single" w:color="auto"/>
          <w:color w:val="auto"/>
        </w:rPr>
        <w:t>Entry Into a Material Definitive Agreement</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February 5, 2008, ExlService Holdings, Inc. (the “Company”) entered into a letter agreement (the “Letter Agreement”), with Norwich Union, one of the Company’s major clients, amending the terms of exercise of Norwich Union’s option (the “Transfer Option”) to require the Company to transfer the relevant project and operations of its facility at Pune, India, to Norwich Union. Pursuant to the Letter Agreement, the earliest date of exercise of the Transfer Option has been extended from January 1, 2008 to April 1, 2008. As a result, if the Transfer Option is exercised, the earliest date by which the Company would be required to transfer the Pune, India, facility to Norwich Union, is May 1, 2008, which is an extension from the previously agreed transfer date of April 2, 2008. In addition, the Letter Agreement permits Norwich Union to rescind an exercise of the Transfer Option. The remaining terms of our agreements with Norwich Union remain unchanged.</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80" w:type="dxa"/>
            <w:vAlign w:val="bottom"/>
          </w:tcPr>
          <w:p>
            <w:pPr>
              <w:spacing w:after="0"/>
              <w:rPr>
                <w:sz w:val="19"/>
                <w:szCs w:val="19"/>
                <w:color w:val="auto"/>
              </w:rPr>
            </w:pPr>
          </w:p>
        </w:tc>
        <w:tc>
          <w:tcPr>
            <w:tcW w:w="7840" w:type="dxa"/>
            <w:vAlign w:val="bottom"/>
            <w:gridSpan w:val="2"/>
          </w:tcPr>
          <w:p>
            <w:pPr>
              <w:ind w:left="1920"/>
              <w:spacing w:after="0"/>
              <w:rPr>
                <w:sz w:val="20"/>
                <w:szCs w:val="20"/>
                <w:color w:val="auto"/>
              </w:rPr>
            </w:pPr>
            <w:r>
              <w:rPr>
                <w:rFonts w:ascii="Arial" w:cs="Arial" w:eastAsia="Arial" w:hAnsi="Arial"/>
                <w:sz w:val="18"/>
                <w:szCs w:val="18"/>
                <w:b w:val="1"/>
                <w:bCs w:val="1"/>
                <w:color w:val="auto"/>
              </w:rPr>
              <w:t>EXLSERVICE HOLDINGS, INC.</w:t>
            </w:r>
          </w:p>
        </w:tc>
      </w:tr>
      <w:tr>
        <w:trPr>
          <w:trHeight w:val="222"/>
        </w:trPr>
        <w:tc>
          <w:tcPr>
            <w:tcW w:w="3580" w:type="dxa"/>
            <w:vAlign w:val="bottom"/>
          </w:tcPr>
          <w:p>
            <w:pPr>
              <w:spacing w:after="0"/>
              <w:rPr>
                <w:sz w:val="19"/>
                <w:szCs w:val="19"/>
                <w:color w:val="auto"/>
              </w:rPr>
            </w:pPr>
          </w:p>
        </w:tc>
        <w:tc>
          <w:tcPr>
            <w:tcW w:w="7840" w:type="dxa"/>
            <w:vAlign w:val="bottom"/>
            <w:gridSpan w:val="2"/>
          </w:tcPr>
          <w:p>
            <w:pPr>
              <w:ind w:left="2100"/>
              <w:spacing w:after="0"/>
              <w:rPr>
                <w:sz w:val="20"/>
                <w:szCs w:val="20"/>
                <w:color w:val="auto"/>
              </w:rPr>
            </w:pPr>
            <w:r>
              <w:rPr>
                <w:rFonts w:ascii="Arial" w:cs="Arial" w:eastAsia="Arial" w:hAnsi="Arial"/>
                <w:sz w:val="18"/>
                <w:szCs w:val="18"/>
                <w:color w:val="auto"/>
              </w:rPr>
              <w:t>(Registrant)</w:t>
            </w:r>
          </w:p>
        </w:tc>
      </w:tr>
      <w:tr>
        <w:trPr>
          <w:trHeight w:val="798"/>
        </w:trPr>
        <w:tc>
          <w:tcPr>
            <w:tcW w:w="3580" w:type="dxa"/>
            <w:vAlign w:val="bottom"/>
          </w:tcPr>
          <w:p>
            <w:pPr>
              <w:spacing w:after="0"/>
              <w:rPr>
                <w:sz w:val="20"/>
                <w:szCs w:val="20"/>
                <w:color w:val="auto"/>
              </w:rPr>
            </w:pPr>
            <w:r>
              <w:rPr>
                <w:rFonts w:ascii="Arial" w:cs="Arial" w:eastAsia="Arial" w:hAnsi="Arial"/>
                <w:sz w:val="18"/>
                <w:szCs w:val="18"/>
                <w:color w:val="auto"/>
              </w:rPr>
              <w:t>Date: February 6, 2008</w:t>
            </w:r>
          </w:p>
        </w:tc>
        <w:tc>
          <w:tcPr>
            <w:tcW w:w="7840" w:type="dxa"/>
            <w:vAlign w:val="bottom"/>
            <w:gridSpan w:val="2"/>
          </w:tcPr>
          <w:p>
            <w:pPr>
              <w:ind w:left="1920"/>
              <w:spacing w:after="0"/>
              <w:rPr>
                <w:sz w:val="20"/>
                <w:szCs w:val="20"/>
                <w:color w:val="auto"/>
              </w:rPr>
            </w:pPr>
            <w:r>
              <w:rPr>
                <w:rFonts w:ascii="Arial" w:cs="Arial" w:eastAsia="Arial" w:hAnsi="Arial"/>
                <w:sz w:val="18"/>
                <w:szCs w:val="18"/>
                <w:color w:val="auto"/>
              </w:rPr>
              <w:t>By:  /s/  Amit Shashank</w:t>
            </w:r>
          </w:p>
        </w:tc>
      </w:tr>
      <w:tr>
        <w:trPr>
          <w:trHeight w:val="202"/>
        </w:trPr>
        <w:tc>
          <w:tcPr>
            <w:tcW w:w="35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58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Name: Amit Shashank</w:t>
            </w:r>
          </w:p>
        </w:tc>
      </w:tr>
      <w:tr>
        <w:trPr>
          <w:trHeight w:val="216"/>
        </w:trPr>
        <w:tc>
          <w:tcPr>
            <w:tcW w:w="3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Title:  Vice President, General Counsel and</w:t>
            </w:r>
          </w:p>
        </w:tc>
      </w:tr>
      <w:tr>
        <w:trPr>
          <w:trHeight w:val="222"/>
        </w:trPr>
        <w:tc>
          <w:tcPr>
            <w:tcW w:w="35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580" w:type="dxa"/>
            <w:vAlign w:val="bottom"/>
          </w:tcPr>
          <w:p>
            <w:pPr>
              <w:ind w:left="720"/>
              <w:spacing w:after="0"/>
              <w:rPr>
                <w:sz w:val="20"/>
                <w:szCs w:val="20"/>
                <w:color w:val="auto"/>
              </w:rPr>
            </w:pPr>
            <w:r>
              <w:rPr>
                <w:rFonts w:ascii="Arial" w:cs="Arial" w:eastAsia="Arial" w:hAnsi="Arial"/>
                <w:sz w:val="18"/>
                <w:szCs w:val="18"/>
                <w:color w:val="auto"/>
              </w:rPr>
              <w:t>Corporate Secretary</w:t>
            </w:r>
          </w:p>
        </w:tc>
      </w:tr>
    </w:tbl>
    <w:p>
      <w:pPr>
        <w:spacing w:after="0" w:line="1" w:lineRule="exact"/>
        <w:rPr>
          <w:sz w:val="20"/>
          <w:szCs w:val="20"/>
          <w:color w:val="auto"/>
        </w:rPr>
      </w:pPr>
    </w:p>
    <w:sectPr>
      <w:pgSz w:w="11900" w:h="16838" w:orient="portrait"/>
      <w:cols w:equalWidth="0" w:num="1">
        <w:col w:w="11420"/>
      </w:cols>
      <w:pgMar w:left="240" w:top="2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2019-12-15T10:56:14Z</dcterms:created>
  <dcterms:modified xsi:type="dcterms:W3CDTF">2019-12-15T10:56:14Z</dcterms:modified>
</cp:coreProperties>
</file>