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Sections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20"/>
        <w:spacing w:after="0"/>
        <w:rPr>
          <w:sz w:val="20"/>
          <w:szCs w:val="20"/>
          <w:color w:val="auto"/>
        </w:rPr>
      </w:pPr>
      <w:r>
        <w:rPr>
          <w:rFonts w:ascii="Arial" w:cs="Arial" w:eastAsia="Arial" w:hAnsi="Arial"/>
          <w:sz w:val="21"/>
          <w:szCs w:val="21"/>
          <w:b w:val="1"/>
          <w:bCs w:val="1"/>
          <w:color w:val="auto"/>
        </w:rPr>
        <w:t>Date of Report (Date of earliest event reported): April 30,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82-0572194</w:t>
      </w:r>
    </w:p>
    <w:p>
      <w:pPr>
        <w:spacing w:after="0" w:line="31" w:lineRule="exact"/>
        <w:rPr>
          <w:sz w:val="24"/>
          <w:szCs w:val="24"/>
          <w:color w:val="auto"/>
        </w:rPr>
      </w:pPr>
    </w:p>
    <w:p>
      <w:pPr>
        <w:sectPr>
          <w:pgSz w:w="11900" w:h="16838" w:orient="portrait"/>
          <w:cols w:equalWidth="0" w:num="3">
            <w:col w:w="4740" w:space="720"/>
            <w:col w:w="2980" w:space="720"/>
            <w:col w:w="1700"/>
          </w:cols>
          <w:pgMar w:left="240" w:top="368" w:right="7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820"/>
          </w:cols>
          <w:pgMar w:left="240" w:top="368" w:right="799" w:bottom="1440" w:gutter="0" w:footer="0" w:header="0"/>
          <w:type w:val="continuous"/>
        </w:sectPr>
      </w:pPr>
    </w:p>
    <w:p>
      <w:pPr>
        <w:spacing w:after="0" w:line="6"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2"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559"/>
        <w:spacing w:after="0"/>
        <w:rPr>
          <w:sz w:val="20"/>
          <w:szCs w:val="20"/>
          <w:color w:val="auto"/>
        </w:rPr>
      </w:pPr>
      <w:r>
        <w:rPr>
          <w:rFonts w:ascii="Arial" w:cs="Arial" w:eastAsia="Arial" w:hAnsi="Arial"/>
          <w:sz w:val="16"/>
          <w:szCs w:val="16"/>
          <w:b w:val="1"/>
          <w:bCs w:val="1"/>
          <w:color w:val="auto"/>
        </w:rPr>
        <w:t>Registrant’s telephone number, including area code: (212) 277-7100</w:t>
      </w:r>
    </w:p>
    <w:p>
      <w:pPr>
        <w:spacing w:after="0" w:line="24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2.02 Results of Operations and Financial Condition.</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April 30, 2015, ExlService Holdings, Inc. (the “Company”) reported its results of operations for the three months ended March 31, 2015.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76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5760" w:type="dxa"/>
            <w:vAlign w:val="bottom"/>
            <w:gridSpan w:val="3"/>
          </w:tcPr>
          <w:p>
            <w:pPr>
              <w:ind w:left="780"/>
              <w:spacing w:after="0"/>
              <w:rPr>
                <w:sz w:val="20"/>
                <w:szCs w:val="20"/>
                <w:color w:val="auto"/>
              </w:rPr>
            </w:pPr>
            <w:r>
              <w:rPr>
                <w:rFonts w:ascii="Arial" w:cs="Arial" w:eastAsia="Arial" w:hAnsi="Arial"/>
                <w:sz w:val="18"/>
                <w:szCs w:val="18"/>
                <w:color w:val="auto"/>
                <w:w w:val="89"/>
              </w:rPr>
              <w:t>Press Release, dated April 30, 2015 (furnished pursuant to Item 2.02)</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80" w:type="dxa"/>
            <w:vAlign w:val="bottom"/>
          </w:tcPr>
          <w:p>
            <w:pPr>
              <w:spacing w:after="0"/>
              <w:rPr>
                <w:sz w:val="19"/>
                <w:szCs w:val="19"/>
                <w:color w:val="auto"/>
              </w:rPr>
            </w:pPr>
          </w:p>
        </w:tc>
        <w:tc>
          <w:tcPr>
            <w:tcW w:w="7840" w:type="dxa"/>
            <w:vAlign w:val="bottom"/>
            <w:gridSpan w:val="2"/>
          </w:tcPr>
          <w:p>
            <w:pPr>
              <w:ind w:left="224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580" w:type="dxa"/>
            <w:vAlign w:val="bottom"/>
          </w:tcPr>
          <w:p>
            <w:pPr>
              <w:spacing w:after="0"/>
              <w:rPr>
                <w:sz w:val="20"/>
                <w:szCs w:val="20"/>
                <w:color w:val="auto"/>
              </w:rPr>
            </w:pPr>
          </w:p>
        </w:tc>
        <w:tc>
          <w:tcPr>
            <w:tcW w:w="7840" w:type="dxa"/>
            <w:vAlign w:val="bottom"/>
            <w:gridSpan w:val="2"/>
          </w:tcPr>
          <w:p>
            <w:pPr>
              <w:ind w:left="2240"/>
              <w:spacing w:after="0"/>
              <w:rPr>
                <w:sz w:val="20"/>
                <w:szCs w:val="20"/>
                <w:color w:val="auto"/>
              </w:rPr>
            </w:pPr>
            <w:r>
              <w:rPr>
                <w:rFonts w:ascii="Arial" w:cs="Arial" w:eastAsia="Arial" w:hAnsi="Arial"/>
                <w:sz w:val="18"/>
                <w:szCs w:val="18"/>
                <w:color w:val="auto"/>
              </w:rPr>
              <w:t>(Registrant)</w:t>
            </w:r>
          </w:p>
        </w:tc>
      </w:tr>
      <w:tr>
        <w:trPr>
          <w:trHeight w:val="446"/>
        </w:trPr>
        <w:tc>
          <w:tcPr>
            <w:tcW w:w="3580" w:type="dxa"/>
            <w:vAlign w:val="bottom"/>
          </w:tcPr>
          <w:p>
            <w:pPr>
              <w:spacing w:after="0"/>
              <w:rPr>
                <w:sz w:val="20"/>
                <w:szCs w:val="20"/>
                <w:color w:val="auto"/>
              </w:rPr>
            </w:pPr>
            <w:r>
              <w:rPr>
                <w:rFonts w:ascii="Arial" w:cs="Arial" w:eastAsia="Arial" w:hAnsi="Arial"/>
                <w:sz w:val="18"/>
                <w:szCs w:val="18"/>
                <w:color w:val="auto"/>
              </w:rPr>
              <w:t>Date: April 30, 2015</w:t>
            </w:r>
          </w:p>
        </w:tc>
        <w:tc>
          <w:tcPr>
            <w:tcW w:w="2820" w:type="dxa"/>
            <w:vAlign w:val="bottom"/>
          </w:tcPr>
          <w:p>
            <w:pPr>
              <w:ind w:left="22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Nancy Saltzman</w:t>
            </w:r>
          </w:p>
        </w:tc>
      </w:tr>
      <w:tr>
        <w:trPr>
          <w:trHeight w:val="209"/>
        </w:trPr>
        <w:tc>
          <w:tcPr>
            <w:tcW w:w="3580" w:type="dxa"/>
            <w:vAlign w:val="bottom"/>
          </w:tcPr>
          <w:p>
            <w:pPr>
              <w:spacing w:after="0"/>
              <w:rPr>
                <w:sz w:val="18"/>
                <w:szCs w:val="18"/>
                <w:color w:val="auto"/>
              </w:rPr>
            </w:pPr>
          </w:p>
        </w:tc>
        <w:tc>
          <w:tcPr>
            <w:tcW w:w="2820" w:type="dxa"/>
            <w:vAlign w:val="bottom"/>
          </w:tcPr>
          <w:p>
            <w:pPr>
              <w:ind w:left="224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Nancy Saltzman</w:t>
            </w:r>
          </w:p>
        </w:tc>
      </w:tr>
      <w:tr>
        <w:trPr>
          <w:trHeight w:val="216"/>
        </w:trPr>
        <w:tc>
          <w:tcPr>
            <w:tcW w:w="3580" w:type="dxa"/>
            <w:vAlign w:val="bottom"/>
          </w:tcPr>
          <w:p>
            <w:pPr>
              <w:spacing w:after="0"/>
              <w:rPr>
                <w:sz w:val="18"/>
                <w:szCs w:val="18"/>
                <w:color w:val="auto"/>
              </w:rPr>
            </w:pPr>
          </w:p>
        </w:tc>
        <w:tc>
          <w:tcPr>
            <w:tcW w:w="2820" w:type="dxa"/>
            <w:vAlign w:val="bottom"/>
          </w:tcPr>
          <w:p>
            <w:pPr>
              <w:ind w:left="22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5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378"/>
        </w:trPr>
        <w:tc>
          <w:tcPr>
            <w:tcW w:w="3580" w:type="dxa"/>
            <w:vAlign w:val="bottom"/>
          </w:tcPr>
          <w:p>
            <w:pPr>
              <w:spacing w:after="0"/>
              <w:rPr>
                <w:sz w:val="24"/>
                <w:szCs w:val="24"/>
                <w:color w:val="auto"/>
              </w:rPr>
            </w:pPr>
          </w:p>
        </w:tc>
        <w:tc>
          <w:tcPr>
            <w:tcW w:w="2820" w:type="dxa"/>
            <w:vAlign w:val="bottom"/>
          </w:tcPr>
          <w:p>
            <w:pPr>
              <w:ind w:left="2080"/>
              <w:spacing w:after="0"/>
              <w:rPr>
                <w:sz w:val="20"/>
                <w:szCs w:val="20"/>
                <w:color w:val="auto"/>
              </w:rPr>
            </w:pPr>
            <w:r>
              <w:rPr>
                <w:rFonts w:ascii="Arial" w:cs="Arial" w:eastAsia="Arial" w:hAnsi="Arial"/>
                <w:sz w:val="18"/>
                <w:szCs w:val="18"/>
                <w:color w:val="auto"/>
              </w:rPr>
              <w:t>2</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80" w:type="dxa"/>
            <w:vAlign w:val="bottom"/>
          </w:tcPr>
          <w:p>
            <w:pPr>
              <w:jc w:val="center"/>
              <w:ind w:left="267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76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5760" w:type="dxa"/>
            <w:vAlign w:val="bottom"/>
            <w:gridSpan w:val="3"/>
          </w:tcPr>
          <w:p>
            <w:pPr>
              <w:ind w:left="780"/>
              <w:spacing w:after="0"/>
              <w:rPr>
                <w:sz w:val="20"/>
                <w:szCs w:val="20"/>
                <w:color w:val="auto"/>
              </w:rPr>
            </w:pPr>
            <w:r>
              <w:rPr>
                <w:rFonts w:ascii="Arial" w:cs="Arial" w:eastAsia="Arial" w:hAnsi="Arial"/>
                <w:sz w:val="18"/>
                <w:szCs w:val="18"/>
                <w:color w:val="auto"/>
                <w:w w:val="89"/>
              </w:rPr>
              <w:t>Press Release, dated April 30, 2015 (furnished pursuant to Item 2.02)</w:t>
            </w:r>
          </w:p>
        </w:tc>
      </w:tr>
      <w:tr>
        <w:trPr>
          <w:trHeight w:val="365"/>
        </w:trPr>
        <w:tc>
          <w:tcPr>
            <w:tcW w:w="720" w:type="dxa"/>
            <w:vAlign w:val="bottom"/>
          </w:tcPr>
          <w:p>
            <w:pPr>
              <w:spacing w:after="0"/>
              <w:rPr>
                <w:sz w:val="24"/>
                <w:szCs w:val="24"/>
                <w:color w:val="auto"/>
              </w:rPr>
            </w:pPr>
          </w:p>
        </w:tc>
        <w:tc>
          <w:tcPr>
            <w:tcW w:w="5760" w:type="dxa"/>
            <w:vAlign w:val="bottom"/>
            <w:gridSpan w:val="3"/>
          </w:tcPr>
          <w:p>
            <w:pPr>
              <w:jc w:val="right"/>
              <w:ind w:right="63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0219"/>
          </w:cols>
          <w:pgMar w:left="2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6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auto"/>
        </w:rPr>
        <w:t>ir@exlservice.com</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2015 FIRST QUARTER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2015 First Quarter Revenues of $143.5 Million and Adjusted Diluted EPS of $0.41</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New York, NY – April 30, 2015 – ExlService Holdings, Inc. (NASDAQ: EXLS), a leading provider of Operations Management and Analytics and Business Transformation services, today announced its financial results for the first quarter of 2015.</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Rohit Kapoor, Vice Chairman and CEO, commented: “EXL had a strong first quarter with broad-based growth across business lines and industry verticals. We believe the demand environment is improving with clients becoming increasingly decisive around strategic deals. In Operations Management, the healthcare and travel, transportation and logistics verticals experienced strong growth from existing clients and recent contract wins. Our proprietary Business EXLerator Framework™ and suite of BPaaS solutions differentiate EXL and are driving enhanced client engagements in Operations Management. In Analytics and Business Transformation, our revenue grew 51.3% year-over-year including the contribution from the Blue Slate and analytics firm RPM Direct acquisitions. Our recent acquisitions are performing well, and we are actively taking our enhanced suite of capabilities to market.”</w:t>
      </w:r>
    </w:p>
    <w:p>
      <w:pPr>
        <w:spacing w:after="0" w:line="165"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Vishal Chhibbar, EXL’s CFO, commented: “In the first quarter, EXL had revenues of $143.5 million, up 15.5% excluding reimbursement of disentanglement costs in the first quarter 2014. Our strong revenue performance was a result of growth across our major client relationships as well as contributions from our acquisitions. For 2015, we are raising our revenue guidance to $600 million to $620 million from $570 million to $590 million, representing annual revenue growth of 14.1% to 18.0%, despite a currency headwind of approximately 1%. We are maintaining our adjusted diluted earnings per share guidance of $1.85 to $1.95 despite a one-time tax expense in the first quarter. The drivers of our guidance revision include the contribution of analytics firm RPM Direct, strong business performance in the first quarter, and a robust demand outlook for the remainder or the year.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business is divided into two reporting segments: Operations Management and Analytics and Business Transformation.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Reconciliations of adjusted financial measures to GAAP are included at the end of this release.</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Revenues for the quarter ended March 31, 2015 were $143.5 million compared to $121.8 million for the quarter ended March 31, 2014 and</w:t>
      </w:r>
    </w:p>
    <w:p>
      <w:pPr>
        <w:spacing w:after="0" w:line="34" w:lineRule="exact"/>
        <w:rPr>
          <w:rFonts w:ascii="Arial" w:cs="Arial" w:eastAsia="Arial" w:hAnsi="Arial"/>
          <w:sz w:val="17"/>
          <w:szCs w:val="17"/>
          <w:color w:val="auto"/>
        </w:rPr>
      </w:pPr>
    </w:p>
    <w:p>
      <w:pPr>
        <w:ind w:left="900" w:right="120"/>
        <w:spacing w:after="0" w:line="292" w:lineRule="auto"/>
        <w:rPr>
          <w:rFonts w:ascii="Arial" w:cs="Arial" w:eastAsia="Arial" w:hAnsi="Arial"/>
          <w:sz w:val="17"/>
          <w:szCs w:val="17"/>
          <w:color w:val="auto"/>
        </w:rPr>
      </w:pPr>
      <w:r>
        <w:rPr>
          <w:rFonts w:ascii="Arial" w:cs="Arial" w:eastAsia="Arial" w:hAnsi="Arial"/>
          <w:sz w:val="16"/>
          <w:szCs w:val="16"/>
          <w:color w:val="auto"/>
        </w:rPr>
        <w:t>$135.3 million for the quarter ended December 31, 2014. Revenues for the quarter ended March 31, 2014 and December 31, 2014 were reduced by $2.5 million and $8.5 million, respectively, due to the reimbursement of disentanglement costs. Operations Management revenues for the quarter ended March 31, 2015 were $110.7 million compared to $100.1 million for the quarter ended March 31, 2014 and $103.1 million for the quarter ended December 31, 2014. Analytics and Business Transformation revenues for the quarter ended March 31, 2015 were $32.8 million compared to $21.7 million for the quarter ended March 31, 2014 and $32.2 million for the quarter ended December 31, 2014.</w:t>
      </w:r>
    </w:p>
    <w:p>
      <w:pPr>
        <w:spacing w:after="0" w:line="68" w:lineRule="exact"/>
        <w:rPr>
          <w:rFonts w:ascii="Arial" w:cs="Arial" w:eastAsia="Arial" w:hAnsi="Arial"/>
          <w:sz w:val="17"/>
          <w:szCs w:val="17"/>
          <w:color w:val="auto"/>
        </w:rPr>
      </w:pPr>
    </w:p>
    <w:p>
      <w:pPr>
        <w:ind w:left="900" w:right="80" w:hanging="325"/>
        <w:spacing w:after="0" w:line="25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for the quarter ended March 31, 2015 was 35.1% compared to 38.5% for the quarter ended March 31, 2014 and 32.5% for the quarter ended December 31, 2014. Operations Management gross margin for the quarter ended March 31, 2015 was 36.3% compared to 41.2% for the quarter ended March 31, 2014 and 32.8% for the quarter ended December 31, 2014. Analytics and Business Transformation gross margin for the quarter ended March 31, 2015 was 31.0% compared to 26.2% for the quarter ended March 31, 2014 and 31.5% for the quarter ended December 31, 2014.</w:t>
      </w:r>
    </w:p>
    <w:p>
      <w:pPr>
        <w:spacing w:after="0" w:line="93" w:lineRule="exact"/>
        <w:rPr>
          <w:rFonts w:ascii="Arial" w:cs="Arial" w:eastAsia="Arial" w:hAnsi="Arial"/>
          <w:sz w:val="18"/>
          <w:szCs w:val="18"/>
          <w:color w:val="auto"/>
        </w:rPr>
      </w:pPr>
    </w:p>
    <w:p>
      <w:pPr>
        <w:ind w:left="900" w:hanging="325"/>
        <w:spacing w:after="0" w:line="30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Operating margin for the quarter ended March 31, 2015 was 9.4% compared to 12.7% for the quarter ended March 31, 2014 and 5.2% for the quarter ended December 31, 2014. Adjusted operating margin for the quarter ended March 31, 2015 was 13.8% compared to 19.0% for the quarter ended March 31, 2014 and 14.1% for the quarter ended December 31, 2014. Adjusted EBITDA for the quarter ended March 31, 2015 was $24.8 million compared to $28.5 million for the quarter ended March, 2014 and $26.1 million for the quarter ended December 31, 2014.</w:t>
      </w:r>
    </w:p>
    <w:p>
      <w:pPr>
        <w:spacing w:after="0" w:line="59" w:lineRule="exact"/>
        <w:rPr>
          <w:rFonts w:ascii="Arial" w:cs="Arial" w:eastAsia="Arial" w:hAnsi="Arial"/>
          <w:sz w:val="16"/>
          <w:szCs w:val="16"/>
          <w:color w:val="auto"/>
        </w:rPr>
      </w:pPr>
    </w:p>
    <w:p>
      <w:pPr>
        <w:ind w:left="900" w:right="3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for the quarter ended March 31, 2015 was $9.6 million compared to $11.1 million for the quarter ended March 31, 2014 and $7.5 million for the quarter ended December 31, 2014.</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for the quarter ended March 31, 2015 were $0.28 compared to $0.33 for the quarter ended March 31, 2014 and $0.22 for the quarter ended December 31, 2014. Adjusted diluted earnings per share for the quarter ended March 31, 2015 was $0.41 compared to $0.50 for the quarter ended March 31, 2014 and $0.48 for the quarter ended December 31,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135"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Closed the acquisition of analytics firm RPM Direct on March 20th.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9 new clients for the first quarter including 4 in Operations Management and 5 in Analytics and Business Transformation.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multiple operations management relationships, including migrating 24 new processes in the first quarter of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Named a 2014 Partner of the Year for Technology and Innovation by Aflac for MedConnection</w:t>
      </w:r>
      <w:r>
        <w:rPr>
          <w:rFonts w:ascii="Arial" w:cs="Arial" w:eastAsia="Arial" w:hAnsi="Arial"/>
          <w:sz w:val="15"/>
          <w:szCs w:val="15"/>
          <w:color w:val="auto"/>
        </w:rPr>
        <w:t>SM</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Positioned in the Winner’s Circle in the “HfS Blueprint: Population Health and Care Management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Positioned as a Major Player in the “IDC MarketScape: Global Professional Services Firms for Utilities Customer Operations”.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Consolidated our Analytics delivery facilities into a new world-class center in Gurgaon in order to add additional expansion capacity and create an enhanced environment to showcase our analytical capabilities.</w:t>
      </w:r>
    </w:p>
    <w:p>
      <w:pPr>
        <w:spacing w:after="0" w:line="75"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Recorded headcount as of March 31, 2015 of 22,600 compared to 22,800 as of December 31, 2014 and 22,800 (including employees under managed services) as of March 31, 2014.</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Reported employee attrition for the quarter ended March 31, 2015 of 33.6%, compared with 33.5% for the quarter ended December 31, 2014 and 28.8 % for the quarter ended March 31,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2015 Outlook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visibility and an Indian rupee to U.S. dollar exchange rate of 63, the Company is providing the following guidance for calendar year 2015:</w:t>
      </w:r>
    </w:p>
    <w:p>
      <w:pPr>
        <w:spacing w:after="0" w:line="154"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of $600 million to $620 million.</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diluted earnings per share, excluding the impact of stock-based compensation expense, amortization of intangibles and associated tax impacts, of $1.85 to $1.95.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ExlService Holdings, Inc. will host a conference call on Thursday, April 30, 2015 at 8:00 a.m. U.S. eastern time to discuss the Company’s quarterly and annual operating and financial results. The conference call will be available live via the internet by accessing the investor relations section of EXL’s website at </w:t>
      </w:r>
      <w:r>
        <w:rPr>
          <w:rFonts w:ascii="Arial" w:cs="Arial" w:eastAsia="Arial" w:hAnsi="Arial"/>
          <w:sz w:val="17"/>
          <w:szCs w:val="17"/>
          <w:u w:val="single" w:color="auto"/>
          <w:color w:val="auto"/>
        </w:rPr>
        <w:t>ir.exlservice.com</w:t>
      </w:r>
      <w:r>
        <w:rPr>
          <w:rFonts w:ascii="Arial" w:cs="Arial" w:eastAsia="Arial" w:hAnsi="Arial"/>
          <w:sz w:val="17"/>
          <w:szCs w:val="17"/>
          <w:color w:val="auto"/>
        </w:rPr>
        <w:t>, where an accompanying investor-friendly spreadsheet of historical operating and financial data can also be accessed. Please go to the website at least fifteen minutes prior to the call to register, download and install any necessary audio software.</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To listen to the conference call via phone, please dial 1-877-303-6384 or if dialing in internationally, 1-224-357-2191 and an operator will assist you. For those who cannot access the live broadcast, a replay will be available on the EXL website </w:t>
      </w:r>
      <w:r>
        <w:rPr>
          <w:rFonts w:ascii="Arial" w:cs="Arial" w:eastAsia="Arial" w:hAnsi="Arial"/>
          <w:sz w:val="18"/>
          <w:szCs w:val="18"/>
          <w:u w:val="single" w:color="auto"/>
          <w:color w:val="auto"/>
        </w:rPr>
        <w:t>ir.exlservice.com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EXL (NASDAQ: EXLS) is a leading business process solutions company that looks deeper to drive business impact through integrated services and industry knowledge. EXL provides operations management, decision analytics and technology platforms to organizations in insurance, healthcare, banking and financial services, utilities, travel, and transportation and logistics, among others. We work as a strategic partner to help our clients streamline business operations, improve corporate finance, manage compliance, create new channels for growth and better adapt to change. Headquartered in New York and in business since 1999, EXL has approximately 23,000 professionals in locations throughout the U.S., Europe and Asia. For more information, visit </w:t>
      </w:r>
      <w:r>
        <w:rPr>
          <w:rFonts w:ascii="Arial" w:cs="Arial" w:eastAsia="Arial" w:hAnsi="Arial"/>
          <w:sz w:val="18"/>
          <w:szCs w:val="18"/>
          <w:u w:val="single" w:color="auto"/>
          <w:color w:val="auto"/>
        </w:rPr>
        <w:t>www.exlservice.com</w:t>
      </w:r>
      <w:r>
        <w:rPr>
          <w:rFonts w:ascii="Arial" w:cs="Arial" w:eastAsia="Arial" w:hAnsi="Arial"/>
          <w:sz w:val="18"/>
          <w:szCs w:val="18"/>
          <w:color w:val="auto"/>
        </w:rPr>
        <w:t>.</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are discussed in more detail in EXL’s filings with the Securities and Exchange Commission, including EXL’s Annual Report on Form 10-K for the year ended December 31, 2014.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143,510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93,125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74,922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50,385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46,875</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11,243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6,356</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36,917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15,487</w:t>
            </w:r>
          </w:p>
        </w:tc>
        <w:tc>
          <w:tcPr>
            <w:tcW w:w="0" w:type="dxa"/>
            <w:vAlign w:val="bottom"/>
          </w:tcPr>
          <w:p>
            <w:pPr>
              <w:spacing w:after="0"/>
              <w:rPr>
                <w:sz w:val="1"/>
                <w:szCs w:val="1"/>
                <w:color w:val="auto"/>
              </w:rPr>
            </w:pPr>
          </w:p>
        </w:tc>
      </w:tr>
      <w:tr>
        <w:trPr>
          <w:trHeight w:val="324"/>
        </w:trPr>
        <w:tc>
          <w:tcPr>
            <w:tcW w:w="5520" w:type="dxa"/>
            <w:vAlign w:val="bottom"/>
            <w:gridSpan w:val="2"/>
          </w:tcPr>
          <w:p>
            <w:pPr>
              <w:spacing w:after="0"/>
              <w:rPr>
                <w:sz w:val="20"/>
                <w:szCs w:val="20"/>
                <w:color w:val="auto"/>
              </w:rPr>
            </w:pPr>
            <w:r>
              <w:rPr>
                <w:rFonts w:ascii="Arial" w:cs="Arial" w:eastAsia="Arial" w:hAnsi="Arial"/>
                <w:sz w:val="18"/>
                <w:szCs w:val="18"/>
                <w:color w:val="auto"/>
              </w:rPr>
              <w:t>Foreign exchange income / (loss)</w:t>
            </w:r>
          </w:p>
        </w:tc>
        <w:tc>
          <w:tcPr>
            <w:tcW w:w="3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1,134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15,780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Basic</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0.29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w w:val="90"/>
              </w:rPr>
              <w:t>Weighted-average number of shares used in computing earnings per share:</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33,236,259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32,523,490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Diluted</w:t>
            </w:r>
          </w:p>
        </w:tc>
        <w:tc>
          <w:tcPr>
            <w:tcW w:w="3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34,051,971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33,428,544</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460" w:type="dxa"/>
            <w:vAlign w:val="bottom"/>
          </w:tcPr>
          <w:p>
            <w:pPr>
              <w:jc w:val="right"/>
              <w:ind w:right="313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March 31, 2015</w:t>
            </w:r>
          </w:p>
        </w:tc>
        <w:tc>
          <w:tcPr>
            <w:tcW w:w="34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0"/>
              <w:spacing w:after="0" w:line="142" w:lineRule="exact"/>
              <w:rPr>
                <w:sz w:val="20"/>
                <w:szCs w:val="20"/>
                <w:color w:val="auto"/>
              </w:rPr>
            </w:pPr>
            <w:r>
              <w:rPr>
                <w:rFonts w:ascii="Arial" w:cs="Arial" w:eastAsia="Arial" w:hAnsi="Arial"/>
                <w:sz w:val="14"/>
                <w:szCs w:val="14"/>
                <w:b w:val="1"/>
                <w:bCs w:val="1"/>
                <w:color w:val="auto"/>
                <w:w w:val="92"/>
              </w:rPr>
              <w:t>(Unaudited)</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151,319</w:t>
            </w:r>
          </w:p>
        </w:tc>
        <w:tc>
          <w:tcPr>
            <w:tcW w:w="660" w:type="dxa"/>
            <w:vAlign w:val="bottom"/>
            <w:gridSpan w:val="2"/>
            <w:shd w:val="clear" w:color="auto" w:fill="CCEEFF"/>
          </w:tcPr>
          <w:p>
            <w:pPr>
              <w:jc w:val="right"/>
              <w:ind w:right="166"/>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14,330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2,774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89,323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9,875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Deferred tax assets,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4,921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 income tax,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9,305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295,088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302,391</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47,467</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3,367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8,288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60,085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172,097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139,599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24,626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23,975</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611,018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5,510</w:t>
            </w:r>
          </w:p>
        </w:tc>
        <w:tc>
          <w:tcPr>
            <w:tcW w:w="660" w:type="dxa"/>
            <w:vAlign w:val="bottom"/>
            <w:gridSpan w:val="2"/>
            <w:shd w:val="clear" w:color="auto" w:fill="CCEEFF"/>
          </w:tcPr>
          <w:p>
            <w:pPr>
              <w:jc w:val="right"/>
              <w:ind w:right="166"/>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Short-term borrowings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5,000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13,246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Accrued employee cost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21,021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39,386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84,906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90,968</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Long term borrowings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13,727</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174,057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154,398</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$0.001 par value; 100,000,000 shares authorized, 34,605,579 shares issued and 33,294,828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shares outstanding as of March 31, 2015 and 34,203,352 shares issued and 32,905,467 shares outstanding</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of December 31, 2014</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239,311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278,991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(53,015)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(55,509)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465,322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140" w:type="dxa"/>
            <w:vAlign w:val="bottom"/>
            <w:gridSpan w:val="2"/>
          </w:tcPr>
          <w:p>
            <w:pPr>
              <w:spacing w:after="0"/>
              <w:rPr>
                <w:sz w:val="20"/>
                <w:szCs w:val="20"/>
                <w:color w:val="auto"/>
              </w:rPr>
            </w:pPr>
            <w:r>
              <w:rPr>
                <w:rFonts w:ascii="Arial" w:cs="Arial" w:eastAsia="Arial" w:hAnsi="Arial"/>
                <w:sz w:val="18"/>
                <w:szCs w:val="18"/>
                <w:color w:val="auto"/>
              </w:rPr>
              <w:t>Less: 1,310,751 shares as of March 31, 2015 and 1,297,885 shares as of December 31, 2014, held in</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treasury, at cost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(28,361)</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436,961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611,018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ind w:left="566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its reported operating results in accordance with U.S. generally accepted accounting principles (GAAP), EXL has included in this release adjusted financial measures (adjusted EBITDA, adjusted net income and adjusted diluted earnings per share) that the Securities and Exchange Commission defines as “non-GAAP financial measures.” The adjusted financial measures disclosed by the EXL should not be considered a substitute for, or superior to, financial measures calculated in accordance with GAAP, and the financial results calculated in accordance with GAAP and reconciliations from those financial statements should be carefully evaluated. EXL believes that providing these adjusted measures may help investors better understand EXL’s underlying financial performance. Management also believes that these adjusted financial measures, when read in conjunction with EXL’s reported results, can provide useful supplemental information for investors analyzing period to period comparisons of the Company’s results and comparisons of the Company’s results with the results of other companies. EXL believes that it is unreasonably difficult to provide its financial outlook in accordance with GAAP for a number of reasons including, without limitation, EXL’s inability to predict its future stock-based compensation expense under ASC Topic 718 and the amortization of intangibles associated with further acquisitions, and the uncertainty around the reimbursement of transition and disentanglement costs for a disclosed client issue. EXL also incurs significant non-cash charges for depreciation that may not be indicative of the Company’s ability to generate cash flow.</w:t>
      </w:r>
    </w:p>
    <w:p>
      <w:pPr>
        <w:spacing w:after="0" w:line="18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Additionally, EXL provides certain information on a constant currency basis, which reflects a comparison of current period results translated at the prior period currency rates. This information is provided because EXL believes that it provides useful incremental information to investors regarding EXL’s operating performance.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shows the reconciliation of these adjusted financial measures from GAAP measures for the three months ended March 31, 2015 and 2014 and for the three months ended December 31, 2014:</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(Amounts in thousands)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vMerge w:val="restart"/>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(GAAP)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143,510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121,797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135,286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360"/>
              <w:spacing w:after="0"/>
              <w:rPr>
                <w:sz w:val="20"/>
                <w:szCs w:val="20"/>
                <w:color w:val="auto"/>
              </w:rPr>
            </w:pPr>
            <w:r>
              <w:rPr>
                <w:rFonts w:ascii="Arial" w:cs="Arial" w:eastAsia="Arial" w:hAnsi="Arial"/>
                <w:sz w:val="18"/>
                <w:szCs w:val="18"/>
                <w:color w:val="auto"/>
              </w:rPr>
              <w:t>add: Reimbursement of transition and disentanglement costs (a)</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(Non-GAAP)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9"/>
              </w:rPr>
              <w:t>143,510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89"/>
              </w:rPr>
              <w:t>124,268</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143,818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subtract: Cost of revenues (GAAP)</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(93,125)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(74,922)</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(91,371)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subtract: Operating expenses (GAAP)</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(36,917)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(31,388)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(36,850)</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Income from operations (Non- GAAP)</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13,468</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17,958</w:t>
            </w: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Stock-based compensation expense (b)</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4,176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360"/>
              <w:spacing w:after="0"/>
              <w:rPr>
                <w:sz w:val="20"/>
                <w:szCs w:val="20"/>
                <w:color w:val="auto"/>
              </w:rPr>
            </w:pPr>
            <w:r>
              <w:rPr>
                <w:rFonts w:ascii="Arial" w:cs="Arial" w:eastAsia="Arial" w:hAnsi="Arial"/>
                <w:sz w:val="18"/>
                <w:szCs w:val="18"/>
                <w:color w:val="auto"/>
              </w:rPr>
              <w:t>add: Amortization of acquisition-related intangibles (c)</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19,782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23,670</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i w:val="1"/>
                <w:iCs w:val="1"/>
                <w:color w:val="auto"/>
              </w:rPr>
              <w:t>Adjusted operating income margin as a % of Revenues (Non-GAAP)</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13.8%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19.0%</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14.1%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Depreciation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4,820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Adjusted EBITDA (Non-GAAP)</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24,776</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28,490</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26,069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EBITDA margin as a % of Revenues (Non-GAAP)</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17.3%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i w:val="1"/>
                <w:iCs w:val="1"/>
                <w:color w:val="auto"/>
              </w:rPr>
              <w:t>22.9%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18.1%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reimbursement of transition and disentanglement costs for a disclosed client issue.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9" w:name="page10"/>
    <w:bookmarkEnd w:id="9"/>
    <w:p>
      <w:pPr>
        <w:jc w:val="center"/>
        <w:ind w:right="-9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Adjusted Net Income and Adjusted Diluted Earnings Per Share</w:t>
      </w:r>
    </w:p>
    <w:p>
      <w:pPr>
        <w:spacing w:after="0" w:line="27"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w w:val="98"/>
              </w:rPr>
              <w:t>Three Months Ended</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9,567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11,147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add: Stock-based compensation expense (a)</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4,176</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Amortization of acquisition-related intangibles (b)</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2,059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1,536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add: reimbursement of transition and disentanglement costs (c)</w:t>
            </w:r>
          </w:p>
        </w:tc>
        <w:tc>
          <w:tcPr>
            <w:tcW w:w="10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2,471</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subtract: Tax impact on stock-based compensation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(1,626)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(1,596)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subtract: Tax impact on amortization of acquisition-related intangibles</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subtract: Tax impact on reimbursement of transition and disentanglement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Adjusted net income (Non-GAAP)</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13,822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16,625</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diluted earnings per share (Non-GAAP)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0.41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0.50</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To exclude stock-based compensation expense under ASC Topic 718.</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To exclude amortization of acquisition-related intangibles.</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w:t>
        <w:tab/>
        <w:t>To exclude reimbursement of transition and disentanglement costs for a disclosed client issue.</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sectPr>
      <w:pgSz w:w="11900" w:h="16838" w:orient="portrait"/>
      <w:cols w:equalWidth="0" w:num="1">
        <w:col w:w="10500"/>
      </w:cols>
      <w:pgMar w:left="240" w:top="270"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212"/>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2019-12-08T12:01:55Z</dcterms:created>
  <dcterms:modified xsi:type="dcterms:W3CDTF">2019-12-08T12:01:55Z</dcterms:modified>
</cp:coreProperties>
</file>