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226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0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08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08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930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930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94"/>
              </w:rPr>
              <w:t>930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9,100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19.76</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0000FF"/>
                <w:w w:val="85"/>
              </w:rPr>
              <w:t>9,100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5"/>
              </w:rPr>
              <w:t>9,100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02/03/2011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3,500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02/03/2021</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5"/>
              </w:rPr>
              <w:t>3,500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options will vest and become exercisable on February 3, 2012; an additional 20 percent of the options will vest and become exercisable on February 3, 2013; an additional 30 percent of the options will vest and become exercisable on February 3, 2014; and the remaining 40 percent of the options will vest and become exercisable on February 3, 2015. Vesting will be accelerated upon certain terminations of employment and upon a change in control (as defined in the ExlService Holdings, Inc. 2006 Omnibus Award Plan).</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3, 2012; an additional 20 percent will vest on February 3, 2013; an additional 30 percent will vest on February 3, 2014; and the remaining 40 percent will vest on February 3, 2015.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2019-12-16T14:13:39Z</dcterms:created>
  <dcterms:modified xsi:type="dcterms:W3CDTF">2019-12-16T14:13:39Z</dcterms:modified>
</cp:coreProperties>
</file>