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45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455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729"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Gupta Sanjay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02/07/2012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Global Head of HR</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729"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800" w:type="dxa"/>
            <w:vAlign w:val="bottom"/>
            <w:gridSpan w:val="8"/>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vMerge w:val="restart"/>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0" w:type="dxa"/>
            <w:vAlign w:val="bottom"/>
            <w:gridSpan w:val="8"/>
            <w:vMerge w:val="continue"/>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40" w:type="dxa"/>
            <w:vAlign w:val="bottom"/>
            <w:gridSpan w:val="4"/>
          </w:tcPr>
          <w:p>
            <w:pPr>
              <w:ind w:left="340"/>
              <w:spacing w:after="0" w:line="155" w:lineRule="exact"/>
              <w:rPr>
                <w:sz w:val="20"/>
                <w:szCs w:val="20"/>
                <w:color w:val="auto"/>
              </w:rPr>
            </w:pPr>
            <w:r>
              <w:rPr>
                <w:rFonts w:ascii="Arial" w:cs="Arial" w:eastAsia="Arial" w:hAnsi="Arial"/>
                <w:sz w:val="14"/>
                <w:szCs w:val="14"/>
                <w:color w:val="auto"/>
              </w:rPr>
              <w:t>Line)</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1200" w:type="dxa"/>
            <w:vAlign w:val="bottom"/>
          </w:tcPr>
          <w:p>
            <w:pPr>
              <w:ind w:left="20"/>
              <w:spacing w:after="0"/>
              <w:rPr>
                <w:sz w:val="20"/>
                <w:szCs w:val="20"/>
                <w:color w:val="auto"/>
              </w:rPr>
            </w:pPr>
            <w:r>
              <w:rPr>
                <w:rFonts w:ascii="Arial" w:cs="Arial" w:eastAsia="Arial" w:hAnsi="Arial"/>
                <w:sz w:val="18"/>
                <w:szCs w:val="18"/>
                <w:color w:val="0000FF"/>
              </w:rPr>
              <w:t>10017</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0" w:type="dxa"/>
            <w:vAlign w:val="bottom"/>
            <w:gridSpan w:val="10"/>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vMerge w:val="restart"/>
          </w:tcPr>
          <w:p>
            <w:pPr>
              <w:spacing w:after="0"/>
              <w:rPr>
                <w:sz w:val="12"/>
                <w:szCs w:val="12"/>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820" w:type="dxa"/>
            <w:vAlign w:val="bottom"/>
            <w:tcBorders>
              <w:bottom w:val="single" w:sz="8" w:color="2C2C2C"/>
            </w:tcBorders>
            <w:gridSpan w:val="6"/>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820" w:type="dxa"/>
            <w:vAlign w:val="bottom"/>
            <w:gridSpan w:val="6"/>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60" w:type="dxa"/>
            <w:vAlign w:val="bottom"/>
            <w:gridSpan w:val="3"/>
          </w:tcPr>
          <w:p>
            <w:pPr>
              <w:jc w:val="right"/>
              <w:ind w:right="338"/>
              <w:spacing w:after="0"/>
              <w:rPr>
                <w:sz w:val="20"/>
                <w:szCs w:val="20"/>
                <w:color w:val="auto"/>
              </w:rPr>
            </w:pPr>
            <w:r>
              <w:rPr>
                <w:rFonts w:ascii="Arial" w:cs="Arial" w:eastAsia="Arial" w:hAnsi="Arial"/>
                <w:sz w:val="18"/>
                <w:szCs w:val="18"/>
                <w:color w:val="0000FF"/>
              </w:rPr>
              <w:t>15,183</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2"/>
          </w:tcPr>
          <w:p>
            <w:pPr>
              <w:jc w:val="center"/>
              <w:ind w:left="4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center"/>
              <w:ind w:right="58"/>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58"/>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680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jc w:val="center"/>
              <w:ind w:left="9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02/07/2012</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5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5"/>
              </w:rPr>
              <w:t>680</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40"/>
              <w:spacing w:after="0" w:line="149" w:lineRule="exact"/>
              <w:rPr>
                <w:sz w:val="20"/>
                <w:szCs w:val="20"/>
                <w:color w:val="auto"/>
              </w:rPr>
            </w:pPr>
            <w:r>
              <w:rPr>
                <w:rFonts w:ascii="Arial" w:cs="Arial" w:eastAsia="Arial" w:hAnsi="Arial"/>
                <w:sz w:val="14"/>
                <w:szCs w:val="14"/>
                <w:color w:val="0000FF"/>
                <w:w w:val="96"/>
              </w:rPr>
              <w:t>02/07/2022</w:t>
            </w:r>
          </w:p>
        </w:tc>
        <w:tc>
          <w:tcPr>
            <w:tcW w:w="68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jc w:val="center"/>
              <w:ind w:right="38"/>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vMerge w:val="restart"/>
          </w:tcPr>
          <w:p>
            <w:pPr>
              <w:jc w:val="center"/>
              <w:ind w:left="178"/>
              <w:spacing w:after="0" w:line="149" w:lineRule="exact"/>
              <w:rPr>
                <w:sz w:val="20"/>
                <w:szCs w:val="20"/>
                <w:color w:val="auto"/>
              </w:rPr>
            </w:pPr>
            <w:r>
              <w:rPr>
                <w:rFonts w:ascii="Arial" w:cs="Arial" w:eastAsia="Arial" w:hAnsi="Arial"/>
                <w:sz w:val="14"/>
                <w:szCs w:val="14"/>
                <w:color w:val="0000FF"/>
                <w:w w:val="94"/>
              </w:rPr>
              <w:t>680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8,450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660" w:type="dxa"/>
            <w:vAlign w:val="bottom"/>
          </w:tcPr>
          <w:p>
            <w:pPr>
              <w:jc w:val="center"/>
              <w:ind w:left="119"/>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24.77</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02/07/2012</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ind w:left="80"/>
              <w:spacing w:after="0" w:line="149" w:lineRule="exact"/>
              <w:rPr>
                <w:sz w:val="20"/>
                <w:szCs w:val="20"/>
                <w:color w:val="auto"/>
              </w:rPr>
            </w:pPr>
            <w:r>
              <w:rPr>
                <w:rFonts w:ascii="Arial" w:cs="Arial" w:eastAsia="Arial" w:hAnsi="Arial"/>
                <w:sz w:val="14"/>
                <w:szCs w:val="14"/>
                <w:color w:val="0000FF"/>
              </w:rPr>
              <w:t>A</w:t>
            </w:r>
          </w:p>
        </w:tc>
        <w:tc>
          <w:tcPr>
            <w:tcW w:w="580" w:type="dxa"/>
            <w:vAlign w:val="bottom"/>
          </w:tcPr>
          <w:p>
            <w:pPr>
              <w:jc w:val="center"/>
              <w:ind w:left="18"/>
              <w:spacing w:after="0" w:line="149" w:lineRule="exact"/>
              <w:rPr>
                <w:sz w:val="20"/>
                <w:szCs w:val="20"/>
                <w:color w:val="auto"/>
              </w:rPr>
            </w:pPr>
            <w:r>
              <w:rPr>
                <w:rFonts w:ascii="Arial" w:cs="Arial" w:eastAsia="Arial" w:hAnsi="Arial"/>
                <w:sz w:val="14"/>
                <w:szCs w:val="14"/>
                <w:color w:val="0000FF"/>
                <w:w w:val="85"/>
              </w:rPr>
              <w:t>8,450</w:t>
            </w:r>
          </w:p>
        </w:tc>
        <w:tc>
          <w:tcPr>
            <w:tcW w:w="3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color w:val="0000FF"/>
                <w:w w:val="96"/>
              </w:rPr>
              <w:t>02/07/2022</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38"/>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tcPr>
          <w:p>
            <w:pPr>
              <w:jc w:val="center"/>
              <w:ind w:left="178"/>
              <w:spacing w:after="0" w:line="149" w:lineRule="exact"/>
              <w:rPr>
                <w:sz w:val="20"/>
                <w:szCs w:val="20"/>
                <w:color w:val="auto"/>
              </w:rPr>
            </w:pPr>
            <w:r>
              <w:rPr>
                <w:rFonts w:ascii="Arial" w:cs="Arial" w:eastAsia="Arial" w:hAnsi="Arial"/>
                <w:sz w:val="14"/>
                <w:szCs w:val="14"/>
                <w:color w:val="0000FF"/>
                <w:w w:val="85"/>
              </w:rPr>
              <w:t>8,450</w:t>
            </w:r>
          </w:p>
        </w:tc>
        <w:tc>
          <w:tcPr>
            <w:tcW w:w="30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3,250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jc w:val="center"/>
              <w:ind w:left="9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02/07/2012</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580" w:type="dxa"/>
            <w:vAlign w:val="bottom"/>
            <w:vMerge w:val="restart"/>
          </w:tcPr>
          <w:p>
            <w:pPr>
              <w:jc w:val="center"/>
              <w:ind w:left="18"/>
              <w:spacing w:after="0" w:line="149" w:lineRule="exact"/>
              <w:rPr>
                <w:sz w:val="20"/>
                <w:szCs w:val="20"/>
                <w:color w:val="auto"/>
              </w:rPr>
            </w:pPr>
            <w:r>
              <w:rPr>
                <w:rFonts w:ascii="Arial" w:cs="Arial" w:eastAsia="Arial" w:hAnsi="Arial"/>
                <w:sz w:val="14"/>
                <w:szCs w:val="14"/>
                <w:color w:val="0000FF"/>
                <w:w w:val="85"/>
              </w:rPr>
              <w:t>3,250</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40"/>
              <w:spacing w:after="0" w:line="149" w:lineRule="exact"/>
              <w:rPr>
                <w:sz w:val="20"/>
                <w:szCs w:val="20"/>
                <w:color w:val="auto"/>
              </w:rPr>
            </w:pPr>
            <w:r>
              <w:rPr>
                <w:rFonts w:ascii="Arial" w:cs="Arial" w:eastAsia="Arial" w:hAnsi="Arial"/>
                <w:sz w:val="14"/>
                <w:szCs w:val="14"/>
                <w:color w:val="0000FF"/>
                <w:w w:val="96"/>
              </w:rPr>
              <w:t>02/07/2022</w:t>
            </w:r>
          </w:p>
        </w:tc>
        <w:tc>
          <w:tcPr>
            <w:tcW w:w="68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jc w:val="center"/>
              <w:ind w:right="38"/>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vMerge w:val="restart"/>
          </w:tcPr>
          <w:p>
            <w:pPr>
              <w:jc w:val="center"/>
              <w:ind w:left="178"/>
              <w:spacing w:after="0" w:line="149" w:lineRule="exact"/>
              <w:rPr>
                <w:sz w:val="20"/>
                <w:szCs w:val="20"/>
                <w:color w:val="auto"/>
              </w:rPr>
            </w:pPr>
            <w:r>
              <w:rPr>
                <w:rFonts w:ascii="Arial" w:cs="Arial" w:eastAsia="Arial" w:hAnsi="Arial"/>
                <w:sz w:val="14"/>
                <w:szCs w:val="14"/>
                <w:color w:val="0000FF"/>
                <w:w w:val="85"/>
              </w:rPr>
              <w:t>3,250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10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will vest in three equal annual installments, beginning on February 7, 2013. Vesting of some or all of the restricted stock may be accelerated upon or in connection with the occurrence of a "Change in Control" as such term is defined in agreement governing the grant of the restricted stock.</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10 percent of the options will vest and become exercisable on February 7, 2013; an additional 20 percent of the options will vest and become exercisable on February 7, 2014; an additional 30 percent of the options will vest and become exercisable on February 7, 2015; and the remaining 40 percent of the options will vest and become exercisable on February 7, 2016. Vesting will be accelerated upon certain terminations of employment and upon a change in control (as defined in the ExlService Holdings, Inc. 2006 Omnibus Award Plan).</w:t>
      </w:r>
    </w:p>
    <w:p>
      <w:pPr>
        <w:spacing w:after="0" w:line="30" w:lineRule="exact"/>
        <w:rPr>
          <w:rFonts w:ascii="Arial" w:cs="Arial" w:eastAsia="Arial" w:hAnsi="Arial"/>
          <w:sz w:val="14"/>
          <w:szCs w:val="14"/>
          <w:color w:val="008000"/>
        </w:rPr>
      </w:pPr>
    </w:p>
    <w:p>
      <w:pPr>
        <w:ind w:left="40" w:right="2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10 percent of restricted stock will vest on February 7, 2013; an additional 20 percent will vest on February 7, 2014; an additional 30 percent will vest on February 7, 2015; and the remaining 40 percent will vest on February 7, 2016. Vesting will be accelerated upon certain terminations of employment and upon a change in control (as defined in the ExlService Holdings, Inc. 2006 Omnibus Award Plan).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02/09/2012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72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2019-12-16T15:22:32Z</dcterms:created>
  <dcterms:modified xsi:type="dcterms:W3CDTF">2019-12-16T15:22:32Z</dcterms:modified>
</cp:coreProperties>
</file>