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6"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72" w:lineRule="exact"/>
        <w:rPr>
          <w:sz w:val="24"/>
          <w:szCs w:val="24"/>
          <w:color w:val="auto"/>
        </w:rPr>
      </w:pPr>
    </w:p>
    <w:p>
      <w:pPr>
        <w:ind w:left="260" w:hanging="225"/>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rFonts w:ascii="MS PGothic" w:cs="MS PGothic" w:eastAsia="MS PGothic" w:hAnsi="MS PGothic"/>
          <w:sz w:val="18"/>
          <w:szCs w:val="18"/>
          <w:color w:val="auto"/>
        </w:rPr>
      </w:pPr>
    </w:p>
    <w:p>
      <w:pPr>
        <w:ind w:left="3360"/>
        <w:spacing w:after="0"/>
        <w:rPr>
          <w:rFonts w:ascii="MS PGothic" w:cs="MS PGothic" w:eastAsia="MS PGothic" w:hAnsi="MS PGothic"/>
          <w:sz w:val="18"/>
          <w:szCs w:val="18"/>
          <w:color w:val="auto"/>
        </w:rPr>
      </w:pPr>
      <w:r>
        <w:rPr>
          <w:rFonts w:ascii="Times New Roman" w:cs="Times New Roman" w:eastAsia="Times New Roman" w:hAnsi="Times New Roman"/>
          <w:sz w:val="16"/>
          <w:szCs w:val="16"/>
          <w:b w:val="1"/>
          <w:bCs w:val="1"/>
          <w:color w:val="auto"/>
        </w:rPr>
        <w:t>FOR THE QUARTERLY PERIOD ENDED SEPTEMBER 30, 2019</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260" w:hanging="225"/>
        <w:spacing w:after="0"/>
        <w:tabs>
          <w:tab w:leader="none" w:pos="2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7" w:lineRule="exact"/>
        <w:rPr>
          <w:sz w:val="24"/>
          <w:szCs w:val="24"/>
          <w:color w:val="auto"/>
        </w:rPr>
      </w:pPr>
    </w:p>
    <w:p>
      <w:pPr>
        <w:ind w:left="3220"/>
        <w:spacing w:after="0"/>
        <w:tabs>
          <w:tab w:leader="none" w:pos="71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-3175</wp:posOffset>
            </wp:positionV>
            <wp:extent cx="12274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7455" cy="8890"/>
                    </a:xfrm>
                    <a:prstGeom prst="rect">
                      <a:avLst/>
                    </a:prstGeom>
                    <a:noFill/>
                  </pic:spPr>
                </pic:pic>
              </a:graphicData>
            </a:graphic>
          </wp:anchor>
        </w:drawing>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COMMISSION FILE NUMBER 001-33089</w:t>
      </w:r>
    </w:p>
    <w:p>
      <w:pPr>
        <w:spacing w:after="0" w:line="2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EXLSERVICE HOLDINGS, INC.</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154" w:lineRule="exact"/>
        <w:rPr>
          <w:sz w:val="24"/>
          <w:szCs w:val="24"/>
          <w:color w:val="auto"/>
        </w:rPr>
      </w:pPr>
    </w:p>
    <w:tbl>
      <w:tblPr>
        <w:tblLayout w:type="fixed"/>
        <w:tblInd w:w="2080" w:type="dxa"/>
        <w:tblCellMar>
          <w:top w:w="0" w:type="dxa"/>
          <w:left w:w="0" w:type="dxa"/>
          <w:bottom w:w="0" w:type="dxa"/>
          <w:right w:w="0" w:type="dxa"/>
        </w:tblCellMar>
      </w:tblPr>
      <w:tr>
        <w:trPr>
          <w:trHeight w:val="212"/>
        </w:trPr>
        <w:tc>
          <w:tcPr>
            <w:tcW w:w="5300" w:type="dxa"/>
            <w:vAlign w:val="bottom"/>
          </w:tcPr>
          <w:p>
            <w:pPr>
              <w:jc w:val="center"/>
              <w:ind w:right="2863"/>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1180" w:type="dxa"/>
            <w:vAlign w:val="bottom"/>
          </w:tcPr>
          <w:p>
            <w:pPr>
              <w:jc w:val="right"/>
              <w:ind w:right="84"/>
              <w:spacing w:after="0"/>
              <w:rPr>
                <w:sz w:val="20"/>
                <w:szCs w:val="20"/>
                <w:color w:val="auto"/>
              </w:rPr>
            </w:pPr>
            <w:r>
              <w:rPr>
                <w:rFonts w:ascii="Times New Roman" w:cs="Times New Roman" w:eastAsia="Times New Roman" w:hAnsi="Times New Roman"/>
                <w:sz w:val="16"/>
                <w:szCs w:val="16"/>
                <w:b w:val="1"/>
                <w:bCs w:val="1"/>
                <w:color w:val="auto"/>
              </w:rPr>
              <w:t>82-0572194</w:t>
            </w:r>
          </w:p>
        </w:tc>
      </w:tr>
      <w:tr>
        <w:trPr>
          <w:trHeight w:val="184"/>
        </w:trPr>
        <w:tc>
          <w:tcPr>
            <w:tcW w:w="5300" w:type="dxa"/>
            <w:vAlign w:val="bottom"/>
          </w:tcPr>
          <w:p>
            <w:pPr>
              <w:jc w:val="center"/>
              <w:ind w:right="2863"/>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300" w:type="dxa"/>
            <w:vAlign w:val="bottom"/>
          </w:tcPr>
          <w:p>
            <w:pPr>
              <w:jc w:val="center"/>
              <w:ind w:right="2863"/>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5"/>
        </w:trPr>
        <w:tc>
          <w:tcPr>
            <w:tcW w:w="5300" w:type="dxa"/>
            <w:vAlign w:val="bottom"/>
          </w:tcPr>
          <w:p>
            <w:pPr>
              <w:ind w:left="200"/>
              <w:spacing w:after="0"/>
              <w:rPr>
                <w:sz w:val="20"/>
                <w:szCs w:val="20"/>
                <w:color w:val="auto"/>
              </w:rPr>
            </w:pPr>
            <w:r>
              <w:rPr>
                <w:rFonts w:ascii="Times New Roman" w:cs="Times New Roman" w:eastAsia="Times New Roman" w:hAnsi="Times New Roman"/>
                <w:sz w:val="16"/>
                <w:szCs w:val="16"/>
                <w:b w:val="1"/>
                <w:bCs w:val="1"/>
                <w:color w:val="auto"/>
              </w:rPr>
              <w:t>320 Park Avenue, 29th Floor,</w:t>
            </w:r>
          </w:p>
        </w:tc>
        <w:tc>
          <w:tcPr>
            <w:tcW w:w="1180" w:type="dxa"/>
            <w:vAlign w:val="bottom"/>
          </w:tcPr>
          <w:p>
            <w:pPr>
              <w:spacing w:after="0"/>
              <w:rPr>
                <w:sz w:val="24"/>
                <w:szCs w:val="24"/>
                <w:color w:val="auto"/>
              </w:rPr>
            </w:pPr>
          </w:p>
        </w:tc>
      </w:tr>
      <w:tr>
        <w:trPr>
          <w:trHeight w:val="257"/>
        </w:trPr>
        <w:tc>
          <w:tcPr>
            <w:tcW w:w="5300" w:type="dxa"/>
            <w:vAlign w:val="bottom"/>
          </w:tcPr>
          <w:p>
            <w:pPr>
              <w:ind w:left="680"/>
              <w:spacing w:after="0"/>
              <w:rPr>
                <w:sz w:val="20"/>
                <w:szCs w:val="20"/>
                <w:color w:val="auto"/>
              </w:rPr>
            </w:pPr>
            <w:r>
              <w:rPr>
                <w:rFonts w:ascii="Times New Roman" w:cs="Times New Roman" w:eastAsia="Times New Roman" w:hAnsi="Times New Roman"/>
                <w:sz w:val="16"/>
                <w:szCs w:val="16"/>
                <w:b w:val="1"/>
                <w:bCs w:val="1"/>
                <w:color w:val="auto"/>
              </w:rPr>
              <w:t>New York, New York</w:t>
            </w:r>
          </w:p>
        </w:tc>
        <w:tc>
          <w:tcPr>
            <w:tcW w:w="1180" w:type="dxa"/>
            <w:vAlign w:val="bottom"/>
          </w:tcPr>
          <w:p>
            <w:pPr>
              <w:jc w:val="right"/>
              <w:ind w:right="284"/>
              <w:spacing w:after="0"/>
              <w:rPr>
                <w:sz w:val="20"/>
                <w:szCs w:val="20"/>
                <w:color w:val="auto"/>
              </w:rPr>
            </w:pPr>
            <w:r>
              <w:rPr>
                <w:rFonts w:ascii="Times New Roman" w:cs="Times New Roman" w:eastAsia="Times New Roman" w:hAnsi="Times New Roman"/>
                <w:sz w:val="16"/>
                <w:szCs w:val="16"/>
                <w:b w:val="1"/>
                <w:bCs w:val="1"/>
                <w:color w:val="auto"/>
              </w:rPr>
              <w:t>10022</w:t>
            </w:r>
          </w:p>
        </w:tc>
      </w:tr>
      <w:tr>
        <w:trPr>
          <w:trHeight w:val="239"/>
        </w:trPr>
        <w:tc>
          <w:tcPr>
            <w:tcW w:w="5300" w:type="dxa"/>
            <w:vAlign w:val="bottom"/>
          </w:tcPr>
          <w:p>
            <w:pPr>
              <w:jc w:val="center"/>
              <w:ind w:right="284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61"/>
        </w:trPr>
        <w:tc>
          <w:tcPr>
            <w:tcW w:w="5300" w:type="dxa"/>
            <w:vAlign w:val="bottom"/>
          </w:tcPr>
          <w:p>
            <w:pPr>
              <w:jc w:val="right"/>
              <w:ind w:right="1083"/>
              <w:spacing w:after="0"/>
              <w:rPr>
                <w:sz w:val="20"/>
                <w:szCs w:val="20"/>
                <w:color w:val="auto"/>
              </w:rPr>
            </w:pPr>
            <w:r>
              <w:rPr>
                <w:rFonts w:ascii="Times New Roman" w:cs="Times New Roman" w:eastAsia="Times New Roman" w:hAnsi="Times New Roman"/>
                <w:sz w:val="16"/>
                <w:szCs w:val="16"/>
                <w:b w:val="1"/>
                <w:bCs w:val="1"/>
                <w:color w:val="auto"/>
              </w:rPr>
              <w:t>(212) 277-7100</w:t>
            </w:r>
          </w:p>
        </w:tc>
        <w:tc>
          <w:tcPr>
            <w:tcW w:w="1180" w:type="dxa"/>
            <w:vAlign w:val="bottom"/>
          </w:tcPr>
          <w:p>
            <w:pPr>
              <w:spacing w:after="0"/>
              <w:rPr>
                <w:sz w:val="22"/>
                <w:szCs w:val="22"/>
                <w:color w:val="auto"/>
              </w:rPr>
            </w:pPr>
          </w:p>
        </w:tc>
      </w:tr>
      <w:tr>
        <w:trPr>
          <w:trHeight w:val="210"/>
        </w:trPr>
        <w:tc>
          <w:tcPr>
            <w:tcW w:w="5300" w:type="dxa"/>
            <w:vAlign w:val="bottom"/>
          </w:tcPr>
          <w:p>
            <w:pPr>
              <w:jc w:val="center"/>
              <w:ind w:left="1883"/>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180" w:type="dxa"/>
            <w:vAlign w:val="bottom"/>
          </w:tcPr>
          <w:p>
            <w:pPr>
              <w:spacing w:after="0"/>
              <w:rPr>
                <w:sz w:val="18"/>
                <w:szCs w:val="18"/>
                <w:color w:val="auto"/>
              </w:rPr>
            </w:pPr>
          </w:p>
        </w:tc>
      </w:tr>
    </w:tbl>
    <w:p>
      <w:pPr>
        <w:ind w:left="32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61" w:lineRule="exact"/>
        <w:rPr>
          <w:sz w:val="24"/>
          <w:szCs w:val="24"/>
          <w:color w:val="auto"/>
        </w:rPr>
      </w:pPr>
    </w:p>
    <w:p>
      <w:pPr>
        <w:jc w:val="both"/>
        <w:ind w:right="540" w:firstLine="324"/>
        <w:spacing w:after="0" w:line="23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43" w:lineRule="exact"/>
        <w:rPr>
          <w:sz w:val="24"/>
          <w:szCs w:val="24"/>
          <w:color w:val="auto"/>
        </w:rPr>
      </w:pPr>
    </w:p>
    <w:p>
      <w:pPr>
        <w:ind w:right="400" w:firstLine="324"/>
        <w:spacing w:after="0" w:line="23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9"/>
          <w:szCs w:val="19"/>
          <w:color w:val="auto"/>
        </w:rPr>
        <w:t>☐</w:t>
      </w:r>
    </w:p>
    <w:p>
      <w:pPr>
        <w:spacing w:after="0" w:line="43" w:lineRule="exact"/>
        <w:rPr>
          <w:sz w:val="24"/>
          <w:szCs w:val="24"/>
          <w:color w:val="auto"/>
        </w:rPr>
      </w:pPr>
    </w:p>
    <w:p>
      <w:pPr>
        <w:ind w:firstLine="324"/>
        <w:spacing w:after="0" w:line="29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54"/>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ind w:left="25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392"/>
        </w:trPr>
        <w:tc>
          <w:tcPr>
            <w:tcW w:w="23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260" w:type="dxa"/>
            <w:vAlign w:val="bottom"/>
          </w:tcPr>
          <w:p>
            <w:pPr>
              <w:ind w:left="560"/>
              <w:spacing w:after="0" w:line="161" w:lineRule="exact"/>
              <w:rPr>
                <w:sz w:val="20"/>
                <w:szCs w:val="20"/>
                <w:color w:val="auto"/>
              </w:rPr>
            </w:pPr>
            <w:r>
              <w:rPr>
                <w:rFonts w:ascii="MS PGothic" w:cs="MS PGothic" w:eastAsia="MS PGothic" w:hAnsi="MS PGothic"/>
                <w:sz w:val="16"/>
                <w:szCs w:val="16"/>
                <w:color w:val="auto"/>
              </w:rPr>
              <w:t>☐</w:t>
            </w:r>
          </w:p>
        </w:tc>
        <w:tc>
          <w:tcPr>
            <w:tcW w:w="47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pacing w:after="0" w:line="69" w:lineRule="exact"/>
        <w:rPr>
          <w:sz w:val="24"/>
          <w:szCs w:val="24"/>
          <w:color w:val="auto"/>
        </w:rPr>
      </w:pPr>
    </w:p>
    <w:p>
      <w:pPr>
        <w:jc w:val="both"/>
        <w:ind w:right="440" w:firstLine="324"/>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340"/>
        <w:spacing w:after="0" w:line="219" w:lineRule="exact"/>
        <w:tabs>
          <w:tab w:leader="none" w:pos="7840" w:val="left"/>
          <w:tab w:leader="none" w:pos="846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48260</wp:posOffset>
            </wp:positionH>
            <wp:positionV relativeFrom="paragraph">
              <wp:posOffset>153670</wp:posOffset>
            </wp:positionV>
            <wp:extent cx="7178040" cy="685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685800"/>
                    </a:xfrm>
                    <a:prstGeom prst="rect">
                      <a:avLst/>
                    </a:prstGeom>
                    <a:noFill/>
                  </pic:spPr>
                </pic:pic>
              </a:graphicData>
            </a:graphic>
          </wp:anchor>
        </w:drawing>
      </w:r>
    </w:p>
    <w:p>
      <w:pPr>
        <w:spacing w:after="0" w:line="2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38" w:lineRule="exact"/>
        <w:rPr>
          <w:sz w:val="24"/>
          <w:szCs w:val="24"/>
          <w:color w:val="auto"/>
        </w:rPr>
      </w:pPr>
    </w:p>
    <w:tbl>
      <w:tblPr>
        <w:tblLayout w:type="fixed"/>
        <w:tblInd w:w="80" w:type="dxa"/>
        <w:tblCellMar>
          <w:top w:w="0" w:type="dxa"/>
          <w:left w:w="0" w:type="dxa"/>
          <w:bottom w:w="0" w:type="dxa"/>
          <w:right w:w="0" w:type="dxa"/>
        </w:tblCellMar>
      </w:tblPr>
      <w:tr>
        <w:trPr>
          <w:trHeight w:val="257"/>
        </w:trPr>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2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43"/>
        </w:trPr>
        <w:tc>
          <w:tcPr>
            <w:tcW w:w="3740" w:type="dxa"/>
            <w:vAlign w:val="bottom"/>
            <w:tcBorders>
              <w:bottom w:val="single" w:sz="8" w:color="auto"/>
              <w:right w:val="single" w:sz="8" w:color="auto"/>
            </w:tcBorders>
          </w:tcPr>
          <w:p>
            <w:pPr>
              <w:spacing w:after="0"/>
              <w:rPr>
                <w:sz w:val="21"/>
                <w:szCs w:val="21"/>
                <w:color w:val="auto"/>
              </w:rPr>
            </w:pPr>
          </w:p>
        </w:tc>
        <w:tc>
          <w:tcPr>
            <w:tcW w:w="3280" w:type="dxa"/>
            <w:vAlign w:val="bottom"/>
            <w:tcBorders>
              <w:bottom w:val="single" w:sz="8" w:color="auto"/>
              <w:right w:val="single" w:sz="8" w:color="auto"/>
            </w:tcBorders>
          </w:tcPr>
          <w:p>
            <w:pPr>
              <w:spacing w:after="0"/>
              <w:rPr>
                <w:sz w:val="21"/>
                <w:szCs w:val="21"/>
                <w:color w:val="auto"/>
              </w:rPr>
            </w:pPr>
          </w:p>
        </w:tc>
        <w:tc>
          <w:tcPr>
            <w:tcW w:w="4280" w:type="dxa"/>
            <w:vAlign w:val="bottom"/>
            <w:tcBorders>
              <w:bottom w:val="single" w:sz="8" w:color="auto"/>
            </w:tcBorders>
          </w:tcPr>
          <w:p>
            <w:pPr>
              <w:spacing w:after="0"/>
              <w:rPr>
                <w:sz w:val="21"/>
                <w:szCs w:val="21"/>
                <w:color w:val="auto"/>
              </w:rPr>
            </w:pPr>
          </w:p>
        </w:tc>
      </w:tr>
      <w:tr>
        <w:trPr>
          <w:trHeight w:val="237"/>
        </w:trPr>
        <w:tc>
          <w:tcPr>
            <w:tcW w:w="37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2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EXLS</w:t>
            </w: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NASDAQ</w:t>
            </w:r>
          </w:p>
        </w:tc>
      </w:tr>
      <w:tr>
        <w:trPr>
          <w:trHeight w:val="27"/>
        </w:trPr>
        <w:tc>
          <w:tcPr>
            <w:tcW w:w="3740" w:type="dxa"/>
            <w:vAlign w:val="bottom"/>
            <w:tcBorders>
              <w:bottom w:val="single" w:sz="8" w:color="auto"/>
              <w:right w:val="single" w:sz="8" w:color="auto"/>
            </w:tcBorders>
          </w:tcPr>
          <w:p>
            <w:pPr>
              <w:spacing w:after="0"/>
              <w:rPr>
                <w:sz w:val="2"/>
                <w:szCs w:val="2"/>
                <w:color w:val="auto"/>
              </w:rPr>
            </w:pPr>
          </w:p>
        </w:tc>
        <w:tc>
          <w:tcPr>
            <w:tcW w:w="3280" w:type="dxa"/>
            <w:vAlign w:val="bottom"/>
            <w:tcBorders>
              <w:bottom w:val="single" w:sz="8" w:color="auto"/>
              <w:right w:val="single" w:sz="8" w:color="auto"/>
            </w:tcBorders>
          </w:tcPr>
          <w:p>
            <w:pPr>
              <w:spacing w:after="0"/>
              <w:rPr>
                <w:sz w:val="2"/>
                <w:szCs w:val="2"/>
                <w:color w:val="auto"/>
              </w:rPr>
            </w:pPr>
          </w:p>
        </w:tc>
        <w:tc>
          <w:tcPr>
            <w:tcW w:w="4280" w:type="dxa"/>
            <w:vAlign w:val="bottom"/>
            <w:tcBorders>
              <w:bottom w:val="single" w:sz="8" w:color="auto"/>
            </w:tcBorders>
          </w:tcPr>
          <w:p>
            <w:pPr>
              <w:spacing w:after="0"/>
              <w:rPr>
                <w:sz w:val="2"/>
                <w:szCs w:val="2"/>
                <w:color w:val="auto"/>
              </w:rPr>
            </w:pPr>
          </w:p>
        </w:tc>
      </w:tr>
    </w:tbl>
    <w:p>
      <w:pPr>
        <w:spacing w:after="0" w:line="40" w:lineRule="exact"/>
        <w:rPr>
          <w:sz w:val="24"/>
          <w:szCs w:val="24"/>
          <w:color w:val="auto"/>
        </w:rPr>
      </w:pPr>
    </w:p>
    <w:p>
      <w:pPr>
        <w:sectPr>
          <w:pgSz w:w="11900" w:h="16838" w:orient="portrait"/>
          <w:cols w:equalWidth="0" w:num="1">
            <w:col w:w="11420"/>
          </w:cols>
          <w:pgMar w:left="240" w:top="441" w:right="239" w:bottom="1440" w:gutter="0" w:footer="0" w:header="0"/>
        </w:sectPr>
      </w:pPr>
    </w:p>
    <w:p>
      <w:pPr>
        <w:ind w:left="340"/>
        <w:spacing w:after="0"/>
        <w:rPr>
          <w:sz w:val="20"/>
          <w:szCs w:val="20"/>
          <w:color w:val="auto"/>
        </w:rPr>
      </w:pPr>
      <w:r>
        <w:rPr>
          <w:rFonts w:ascii="Times New Roman" w:cs="Times New Roman" w:eastAsia="Times New Roman" w:hAnsi="Times New Roman"/>
          <w:sz w:val="16"/>
          <w:szCs w:val="16"/>
          <w:color w:val="auto"/>
        </w:rPr>
        <w:t>As of October 25, 2019, there were 34,094,635 shares of the registrant’s common stock outstanding,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0"/>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w:t>
            </w:r>
          </w:p>
        </w:tc>
        <w:tc>
          <w:tcPr>
            <w:tcW w:w="2060" w:type="dxa"/>
            <w:vAlign w:val="bottom"/>
            <w:gridSpan w:val="10"/>
            <w:vMerge w:val="restart"/>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Part I. Financial Information</w:t>
              </w:r>
            </w:hyperlink>
          </w:p>
        </w:tc>
        <w:tc>
          <w:tcPr>
            <w:tcW w:w="7140" w:type="dxa"/>
            <w:vAlign w:val="bottom"/>
            <w:gridSpan w:val="12"/>
            <w:vMerge w:val="restart"/>
          </w:tcPr>
          <w:p>
            <w:pPr>
              <w:spacing w:after="0"/>
              <w:rPr>
                <w:sz w:val="19"/>
                <w:szCs w:val="19"/>
                <w:color w:val="auto"/>
              </w:rPr>
            </w:pPr>
          </w:p>
        </w:tc>
        <w:tc>
          <w:tcPr>
            <w:tcW w:w="660" w:type="dxa"/>
            <w:vAlign w:val="bottom"/>
            <w:vMerge w:val="restart"/>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48"/>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60" w:type="dxa"/>
            <w:vAlign w:val="bottom"/>
            <w:tcBorders>
              <w:bottom w:val="single" w:sz="8" w:color="0000EE"/>
            </w:tcBorders>
            <w:gridSpan w:val="10"/>
            <w:vMerge w:val="continue"/>
          </w:tcPr>
          <w:p>
            <w:pPr>
              <w:spacing w:after="0"/>
              <w:rPr>
                <w:sz w:val="21"/>
                <w:szCs w:val="21"/>
                <w:color w:val="auto"/>
              </w:rPr>
            </w:pPr>
          </w:p>
        </w:tc>
        <w:tc>
          <w:tcPr>
            <w:tcW w:w="7140" w:type="dxa"/>
            <w:vAlign w:val="bottom"/>
            <w:gridSpan w:val="12"/>
            <w:vMerge w:val="continue"/>
          </w:tcPr>
          <w:p>
            <w:pPr>
              <w:spacing w:after="0"/>
              <w:rPr>
                <w:sz w:val="21"/>
                <w:szCs w:val="21"/>
                <w:color w:val="auto"/>
              </w:rPr>
            </w:pPr>
          </w:p>
        </w:tc>
        <w:tc>
          <w:tcPr>
            <w:tcW w:w="6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4"/>
                <w:szCs w:val="24"/>
                <w:color w:val="auto"/>
              </w:rPr>
            </w:pPr>
          </w:p>
        </w:tc>
        <w:tc>
          <w:tcPr>
            <w:tcW w:w="9200" w:type="dxa"/>
            <w:vAlign w:val="bottom"/>
            <w:gridSpan w:val="22"/>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FINANCIAL STATEMENTS</w:t>
              </w:r>
            </w:hyperlink>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Balance Sheets as of September 30, 2019 (Unaudited) and December 31, 2018</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Statements of Income (Unaudited) for the Three and Nine months ended September 30, 2019 and 2018</w:t>
              </w:r>
            </w:hyperlink>
          </w:p>
        </w:tc>
        <w:tc>
          <w:tcPr>
            <w:tcW w:w="540" w:type="dxa"/>
            <w:vAlign w:val="bottom"/>
            <w:gridSpan w:val="2"/>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20" w:type="dxa"/>
            <w:vAlign w:val="bottom"/>
            <w:tcBorders>
              <w:bottom w:val="single" w:sz="8" w:color="0000EE"/>
            </w:tcBorders>
            <w:gridSpan w:val="20"/>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Statements of Comprehensive Income/(Loss) (Unaudited) for the Three and Nine months ended September</w:t>
              </w:r>
            </w:hyperlink>
          </w:p>
        </w:tc>
        <w:tc>
          <w:tcPr>
            <w:tcW w:w="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6">
              <w:r>
                <w:rPr>
                  <w:rFonts w:ascii="Times New Roman" w:cs="Times New Roman" w:eastAsia="Times New Roman" w:hAnsi="Times New Roman"/>
                  <w:sz w:val="18"/>
                  <w:szCs w:val="18"/>
                  <w:color w:val="0000EE"/>
                  <w:w w:val="98"/>
                </w:rPr>
                <w:t>30, 2019 and 2018</w:t>
              </w:r>
            </w:hyperlink>
          </w:p>
        </w:tc>
        <w:tc>
          <w:tcPr>
            <w:tcW w:w="7620" w:type="dxa"/>
            <w:vAlign w:val="bottom"/>
            <w:gridSpan w:val="16"/>
          </w:tcPr>
          <w:p>
            <w:pPr>
              <w:spacing w:after="0"/>
              <w:rPr>
                <w:sz w:val="17"/>
                <w:szCs w:val="17"/>
                <w:color w:val="auto"/>
              </w:rPr>
            </w:pPr>
          </w:p>
        </w:tc>
        <w:tc>
          <w:tcPr>
            <w:tcW w:w="660" w:type="dxa"/>
            <w:vAlign w:val="bottom"/>
          </w:tcPr>
          <w:p>
            <w:pPr>
              <w:ind w:left="20"/>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5</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3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Statements of Equity (Unaudited) for the Three and Nine months ended September 30, 2019 and 2018</w:t>
              </w:r>
            </w:hyperlink>
          </w:p>
        </w:tc>
        <w:tc>
          <w:tcPr>
            <w:tcW w:w="600" w:type="dxa"/>
            <w:vAlign w:val="bottom"/>
            <w:gridSpan w:val="3"/>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6</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960" w:type="dxa"/>
            <w:vAlign w:val="bottom"/>
            <w:gridSpan w:val="21"/>
          </w:tcPr>
          <w:p>
            <w:pPr>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Consolidated Statements of Cash Flows (Unaudited) for the Nine months ended September 30, 2019 and 2018</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9">
              <w:r>
                <w:rPr>
                  <w:rFonts w:ascii="Times New Roman" w:cs="Times New Roman" w:eastAsia="Times New Roman" w:hAnsi="Times New Roman"/>
                  <w:sz w:val="18"/>
                  <w:szCs w:val="18"/>
                  <w:color w:val="0000EE"/>
                </w:rPr>
                <w:t>8</w:t>
              </w:r>
            </w:hyperlink>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940" w:type="dxa"/>
            <w:vAlign w:val="bottom"/>
            <w:tcBorders>
              <w:top w:val="single" w:sz="8" w:color="0000EE"/>
            </w:tcBorders>
            <w:gridSpan w:val="17"/>
          </w:tcPr>
          <w:p>
            <w:pPr>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Notes to Consolidated Financial Statements (Unaudited)</w:t>
              </w:r>
            </w:hyperlink>
          </w:p>
        </w:tc>
        <w:tc>
          <w:tcPr>
            <w:tcW w:w="1020" w:type="dxa"/>
            <w:vAlign w:val="bottom"/>
            <w:gridSpan w:val="4"/>
          </w:tcPr>
          <w:p>
            <w:pPr>
              <w:spacing w:after="0"/>
              <w:rPr>
                <w:sz w:val="21"/>
                <w:szCs w:val="21"/>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11">
              <w:r>
                <w:rPr>
                  <w:rFonts w:ascii="Times New Roman" w:cs="Times New Roman" w:eastAsia="Times New Roman" w:hAnsi="Times New Roman"/>
                  <w:sz w:val="18"/>
                  <w:szCs w:val="18"/>
                  <w:color w:val="0000EE"/>
                </w:rPr>
                <w:t>9</w:t>
              </w:r>
            </w:hyperlink>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c>
          <w:tcPr>
            <w:tcW w:w="64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w:anchor="page45">
              <w:r>
                <w:rPr>
                  <w:rFonts w:ascii="Times New Roman" w:cs="Times New Roman" w:eastAsia="Times New Roman" w:hAnsi="Times New Roman"/>
                  <w:sz w:val="18"/>
                  <w:szCs w:val="18"/>
                  <w:color w:val="0000EE"/>
                  <w:w w:val="99"/>
                </w:rPr>
                <w:t>Management’s Discussion and Analysis of Financial Condition and Results of Operations</w:t>
              </w:r>
            </w:hyperlink>
          </w:p>
        </w:tc>
        <w:tc>
          <w:tcPr>
            <w:tcW w:w="2740" w:type="dxa"/>
            <w:vAlign w:val="bottom"/>
            <w:gridSpan w:val="6"/>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43</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43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Quantitative and Qualitative Disclosures About Market Risk</w:t>
              </w:r>
            </w:hyperlink>
          </w:p>
        </w:tc>
        <w:tc>
          <w:tcPr>
            <w:tcW w:w="4840" w:type="dxa"/>
            <w:vAlign w:val="bottom"/>
            <w:gridSpan w:val="7"/>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17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w:anchor="page61">
              <w:r>
                <w:rPr>
                  <w:rFonts w:ascii="Times New Roman" w:cs="Times New Roman" w:eastAsia="Times New Roman" w:hAnsi="Times New Roman"/>
                  <w:sz w:val="18"/>
                  <w:szCs w:val="18"/>
                  <w:color w:val="0000EE"/>
                  <w:w w:val="99"/>
                </w:rPr>
                <w:t>Controls and Procedures</w:t>
              </w:r>
            </w:hyperlink>
          </w:p>
        </w:tc>
        <w:tc>
          <w:tcPr>
            <w:tcW w:w="7420" w:type="dxa"/>
            <w:vAlign w:val="bottom"/>
            <w:gridSpan w:val="14"/>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6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8"/>
              </w:rPr>
            </w:pPr>
            <w:hyperlink w:anchor="page61">
              <w:r>
                <w:rPr>
                  <w:rFonts w:ascii="Times New Roman" w:cs="Times New Roman" w:eastAsia="Times New Roman" w:hAnsi="Times New Roman"/>
                  <w:sz w:val="18"/>
                  <w:szCs w:val="18"/>
                  <w:color w:val="0000EE"/>
                  <w:w w:val="98"/>
                </w:rPr>
                <w:t>Part II. Other Information</w:t>
              </w:r>
            </w:hyperlink>
          </w:p>
        </w:tc>
        <w:tc>
          <w:tcPr>
            <w:tcW w:w="7340" w:type="dxa"/>
            <w:vAlign w:val="bottom"/>
            <w:gridSpan w:val="13"/>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40" w:type="dxa"/>
            <w:vAlign w:val="bottom"/>
          </w:tcPr>
          <w:p>
            <w:pPr>
              <w:spacing w:after="0"/>
              <w:rPr>
                <w:sz w:val="24"/>
                <w:szCs w:val="24"/>
                <w:color w:val="auto"/>
              </w:rPr>
            </w:pPr>
          </w:p>
        </w:tc>
        <w:tc>
          <w:tcPr>
            <w:tcW w:w="9200" w:type="dxa"/>
            <w:vAlign w:val="bottom"/>
            <w:gridSpan w:val="22"/>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Legal Proceedings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1A.</w:t>
            </w:r>
          </w:p>
        </w:tc>
        <w:tc>
          <w:tcPr>
            <w:tcW w:w="9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61">
              <w:r>
                <w:rPr>
                  <w:rFonts w:ascii="Times New Roman" w:cs="Times New Roman" w:eastAsia="Times New Roman" w:hAnsi="Times New Roman"/>
                  <w:sz w:val="18"/>
                  <w:szCs w:val="18"/>
                  <w:color w:val="0000EE"/>
                  <w:w w:val="97"/>
                </w:rPr>
                <w:t>Risk Factors</w:t>
              </w:r>
            </w:hyperlink>
          </w:p>
        </w:tc>
        <w:tc>
          <w:tcPr>
            <w:tcW w:w="420" w:type="dxa"/>
            <w:vAlign w:val="bottom"/>
            <w:tcBorders>
              <w:top w:val="single" w:sz="8" w:color="0000EE"/>
            </w:tcBorders>
            <w:gridSpan w:val="2"/>
          </w:tcPr>
          <w:p>
            <w:pPr>
              <w:spacing w:after="0"/>
              <w:rPr>
                <w:sz w:val="24"/>
                <w:szCs w:val="24"/>
                <w:color w:val="auto"/>
              </w:rPr>
            </w:pPr>
          </w:p>
        </w:tc>
        <w:tc>
          <w:tcPr>
            <w:tcW w:w="7880" w:type="dxa"/>
            <w:vAlign w:val="bottom"/>
            <w:gridSpan w:val="17"/>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40" w:type="dxa"/>
            <w:vAlign w:val="bottom"/>
          </w:tcPr>
          <w:p>
            <w:pPr>
              <w:spacing w:after="0"/>
              <w:rPr>
                <w:sz w:val="24"/>
                <w:szCs w:val="24"/>
                <w:color w:val="auto"/>
              </w:rPr>
            </w:pPr>
          </w:p>
        </w:tc>
        <w:tc>
          <w:tcPr>
            <w:tcW w:w="9200" w:type="dxa"/>
            <w:vAlign w:val="bottom"/>
            <w:gridSpan w:val="22"/>
          </w:tcPr>
          <w:p>
            <w:pPr>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Unregistered Sales of Equity Securities and Use of Proceeds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59</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Pr>
          <w:p>
            <w:pPr>
              <w:spacing w:after="0"/>
              <w:rPr>
                <w:sz w:val="24"/>
                <w:szCs w:val="24"/>
                <w:color w:val="auto"/>
              </w:rPr>
            </w:pPr>
          </w:p>
        </w:tc>
        <w:tc>
          <w:tcPr>
            <w:tcW w:w="232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8"/>
              </w:rPr>
            </w:pPr>
            <w:hyperlink w:anchor="page62">
              <w:r>
                <w:rPr>
                  <w:rFonts w:ascii="Times New Roman" w:cs="Times New Roman" w:eastAsia="Times New Roman" w:hAnsi="Times New Roman"/>
                  <w:sz w:val="18"/>
                  <w:szCs w:val="18"/>
                  <w:color w:val="0000EE"/>
                  <w:w w:val="98"/>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4860" w:type="dxa"/>
            <w:vAlign w:val="bottom"/>
            <w:gridSpan w:val="8"/>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40" w:type="dxa"/>
            <w:vAlign w:val="bottom"/>
          </w:tcPr>
          <w:p>
            <w:pPr>
              <w:spacing w:after="0"/>
              <w:rPr>
                <w:sz w:val="24"/>
                <w:szCs w:val="24"/>
                <w:color w:val="auto"/>
              </w:rPr>
            </w:pPr>
          </w:p>
        </w:tc>
        <w:tc>
          <w:tcPr>
            <w:tcW w:w="9200" w:type="dxa"/>
            <w:vAlign w:val="bottom"/>
            <w:gridSpan w:val="22"/>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Mine Safety Disclosures</w:t>
              </w:r>
            </w:hyperlink>
          </w:p>
        </w:tc>
        <w:tc>
          <w:tcPr>
            <w:tcW w:w="660" w:type="dxa"/>
            <w:vAlign w:val="bottom"/>
          </w:tcPr>
          <w:p>
            <w:pPr>
              <w:ind w:left="20"/>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40" w:type="dxa"/>
            <w:vAlign w:val="bottom"/>
          </w:tcPr>
          <w:p>
            <w:pPr>
              <w:spacing w:after="0"/>
              <w:rPr>
                <w:sz w:val="24"/>
                <w:szCs w:val="24"/>
                <w:color w:val="auto"/>
              </w:rPr>
            </w:pPr>
          </w:p>
        </w:tc>
        <w:tc>
          <w:tcPr>
            <w:tcW w:w="17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Other Information</w:t>
              </w:r>
            </w:hyperlink>
          </w:p>
        </w:tc>
        <w:tc>
          <w:tcPr>
            <w:tcW w:w="7440" w:type="dxa"/>
            <w:vAlign w:val="bottom"/>
            <w:gridSpan w:val="15"/>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372"/>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tcPr>
          <w:p>
            <w:pPr>
              <w:spacing w:after="0"/>
              <w:rPr>
                <w:sz w:val="24"/>
                <w:szCs w:val="24"/>
                <w:color w:val="auto"/>
              </w:rPr>
            </w:pPr>
          </w:p>
        </w:tc>
        <w:tc>
          <w:tcPr>
            <w:tcW w:w="1300" w:type="dxa"/>
            <w:vAlign w:val="bottom"/>
            <w:tcBorders>
              <w:top w:val="single" w:sz="8" w:color="0000EE"/>
            </w:tcBorders>
            <w:gridSpan w:val="4"/>
          </w:tcPr>
          <w:p>
            <w:pPr>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Exhibits</w:t>
              </w:r>
            </w:hyperlink>
          </w:p>
        </w:tc>
        <w:tc>
          <w:tcPr>
            <w:tcW w:w="7900" w:type="dxa"/>
            <w:vAlign w:val="bottom"/>
            <w:gridSpan w:val="18"/>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2">
              <w:r>
                <w:rPr>
                  <w:rFonts w:ascii="Times New Roman" w:cs="Times New Roman" w:eastAsia="Times New Roman" w:hAnsi="Times New Roman"/>
                  <w:sz w:val="18"/>
                  <w:szCs w:val="18"/>
                  <w:color w:val="0000EE"/>
                </w:rPr>
                <w:t>60</w:t>
              </w:r>
            </w:hyperlink>
          </w:p>
        </w:tc>
        <w:tc>
          <w:tcPr>
            <w:tcW w:w="0" w:type="dxa"/>
            <w:vAlign w:val="bottom"/>
          </w:tcPr>
          <w:p>
            <w:pPr>
              <w:spacing w:after="0"/>
              <w:rPr>
                <w:sz w:val="1"/>
                <w:szCs w:val="1"/>
                <w:color w:val="auto"/>
              </w:rPr>
            </w:pPr>
          </w:p>
        </w:tc>
      </w:tr>
      <w:tr>
        <w:trPr>
          <w:trHeight w:val="372"/>
        </w:trPr>
        <w:tc>
          <w:tcPr>
            <w:tcW w:w="1500" w:type="dxa"/>
            <w:vAlign w:val="bottom"/>
            <w:gridSpan w:val="2"/>
          </w:tcPr>
          <w:p>
            <w:pPr>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Signatures</w:t>
              </w:r>
            </w:hyperlink>
          </w:p>
        </w:tc>
        <w:tc>
          <w:tcPr>
            <w:tcW w:w="2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ind w:left="20"/>
              <w:spacing w:after="0"/>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62</w:t>
              </w:r>
            </w:hyperlink>
          </w:p>
        </w:tc>
        <w:tc>
          <w:tcPr>
            <w:tcW w:w="0" w:type="dxa"/>
            <w:vAlign w:val="bottom"/>
          </w:tcPr>
          <w:p>
            <w:pPr>
              <w:spacing w:after="0"/>
              <w:rPr>
                <w:sz w:val="1"/>
                <w:szCs w:val="1"/>
                <w:color w:val="auto"/>
              </w:rPr>
            </w:pPr>
          </w:p>
        </w:tc>
      </w:tr>
      <w:tr>
        <w:trPr>
          <w:trHeight w:val="507"/>
        </w:trPr>
        <w:tc>
          <w:tcPr>
            <w:tcW w:w="76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4300" w:type="dxa"/>
            <w:vAlign w:val="bottom"/>
            <w:gridSpan w:val="13"/>
          </w:tcPr>
          <w:p>
            <w:pPr>
              <w:ind w:left="4120"/>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33" w:right="259" w:bottom="1440" w:gutter="0" w:footer="0" w:header="0"/>
        </w:sectPr>
      </w:pPr>
    </w:p>
    <w:bookmarkStart w:id="2" w:name="page3"/>
    <w:bookmarkEnd w:id="2"/>
    <w:p>
      <w:pPr>
        <w:spacing w:after="0" w:line="62"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1.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7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60" w:type="dxa"/>
            <w:vAlign w:val="bottom"/>
          </w:tcPr>
          <w:p>
            <w:pPr>
              <w:spacing w:after="0"/>
              <w:rPr>
                <w:sz w:val="20"/>
                <w:szCs w:val="20"/>
                <w:color w:val="auto"/>
              </w:rPr>
            </w:pPr>
          </w:p>
        </w:tc>
        <w:tc>
          <w:tcPr>
            <w:tcW w:w="16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75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101,432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95,881</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Short-term investments</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179,340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184,489</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5,412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5,608</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179,702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164,752</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Prepaid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9,364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11,326</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Advance income tax, net</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9,639</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27,974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28,240</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506,226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499,935</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78,471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73,510</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88,753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2,441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2,642</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assets, net</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6,602</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78,845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95,495</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349,530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349,984</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32,967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31,015</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in equity affiliate</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2,753</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1,145,978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1,061,936</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2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7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5,653</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long-term borrowings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21,423</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9,585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7,722</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Accrued employee costs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54,893</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69,876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64,169</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23,516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Income taxes payable</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575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1,012</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Current portion of finance lease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187,902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155,095</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 term borrowings</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223,916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263,241</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less current portion</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8,445</w:t>
            </w: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less current portion</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76,080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9,241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16,521</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498,295</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443,617</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(Refer Note 26)</w:t>
            </w: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$0.001 par value; 15,000,000 shares authorized, none issued</w:t>
            </w:r>
          </w:p>
        </w:tc>
        <w:tc>
          <w:tcPr>
            <w:tcW w:w="180" w:type="dxa"/>
            <w:vAlign w:val="bottom"/>
          </w:tcPr>
          <w:p>
            <w:pPr>
              <w:spacing w:after="0"/>
              <w:rPr>
                <w:sz w:val="20"/>
                <w:szCs w:val="20"/>
                <w:color w:val="auto"/>
              </w:rPr>
            </w:pPr>
          </w:p>
        </w:tc>
        <w:tc>
          <w:tcPr>
            <w:tcW w:w="1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ExlService Holdings, Inc.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Common stock, $0.001 par value; 100,000,000 shares authorized, 38,322,354 shares issued and 34,107,851</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shares outstanding as of September 30, 2019 and 37,850,544 shares issued and 34,222,476 shares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outstanding as of December 31, 2018</w:t>
            </w:r>
          </w:p>
        </w:tc>
        <w:tc>
          <w:tcPr>
            <w:tcW w:w="180" w:type="dxa"/>
            <w:vAlign w:val="bottom"/>
          </w:tcPr>
          <w:p>
            <w:pPr>
              <w:spacing w:after="0"/>
              <w:rPr>
                <w:sz w:val="18"/>
                <w:szCs w:val="18"/>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386,060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364,179</w:t>
            </w:r>
          </w:p>
        </w:tc>
        <w:tc>
          <w:tcPr>
            <w:tcW w:w="0" w:type="dxa"/>
            <w:vAlign w:val="bottom"/>
          </w:tcPr>
          <w:p>
            <w:pPr>
              <w:spacing w:after="0"/>
              <w:rPr>
                <w:sz w:val="1"/>
                <w:szCs w:val="1"/>
                <w:color w:val="auto"/>
              </w:rPr>
            </w:pPr>
          </w:p>
        </w:tc>
      </w:tr>
      <w:tr>
        <w:trPr>
          <w:trHeight w:val="237"/>
        </w:trPr>
        <w:tc>
          <w:tcPr>
            <w:tcW w:w="75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530,547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484,244</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(86,153)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(83,467)</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including shares held in treasury</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830,492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764,994</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4,214,503 shares as of September 30, 2019 and 3,628,068 shares as of December 31, 2018, held in</w:t>
            </w:r>
          </w:p>
        </w:tc>
        <w:tc>
          <w:tcPr>
            <w:tcW w:w="1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at cost</w:t>
            </w: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(146,925)</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647,683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618,069</w:t>
            </w:r>
          </w:p>
        </w:tc>
        <w:tc>
          <w:tcPr>
            <w:tcW w:w="0" w:type="dxa"/>
            <w:vAlign w:val="bottom"/>
          </w:tcPr>
          <w:p>
            <w:pPr>
              <w:spacing w:after="0"/>
              <w:rPr>
                <w:sz w:val="1"/>
                <w:szCs w:val="1"/>
                <w:color w:val="auto"/>
              </w:rPr>
            </w:pPr>
          </w:p>
        </w:tc>
      </w:tr>
      <w:tr>
        <w:trPr>
          <w:trHeight w:val="33"/>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7"/>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647,683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618,319</w:t>
            </w:r>
          </w:p>
        </w:tc>
        <w:tc>
          <w:tcPr>
            <w:tcW w:w="0" w:type="dxa"/>
            <w:vAlign w:val="bottom"/>
          </w:tcPr>
          <w:p>
            <w:pPr>
              <w:spacing w:after="0"/>
              <w:rPr>
                <w:sz w:val="1"/>
                <w:szCs w:val="1"/>
                <w:color w:val="auto"/>
              </w:rPr>
            </w:pPr>
          </w:p>
        </w:tc>
      </w:tr>
      <w:tr>
        <w:trPr>
          <w:trHeight w:val="33"/>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6"/>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1,145,978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1,061,936</w:t>
            </w:r>
          </w:p>
        </w:tc>
        <w:tc>
          <w:tcPr>
            <w:tcW w:w="0" w:type="dxa"/>
            <w:vAlign w:val="bottom"/>
          </w:tcPr>
          <w:p>
            <w:pPr>
              <w:spacing w:after="0"/>
              <w:rPr>
                <w:sz w:val="1"/>
                <w:szCs w:val="1"/>
                <w:color w:val="auto"/>
              </w:rPr>
            </w:pPr>
          </w:p>
        </w:tc>
      </w:tr>
    </w:tbl>
    <w:p>
      <w:pPr>
        <w:sectPr>
          <w:pgSz w:w="11900" w:h="16900" w:orient="portrait"/>
          <w:cols w:equalWidth="0" w:num="1">
            <w:col w:w="11400"/>
          </w:cols>
          <w:pgMar w:left="240" w:top="333" w:right="259" w:bottom="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183515</wp:posOffset>
            </wp:positionH>
            <wp:positionV relativeFrom="page">
              <wp:posOffset>88900</wp:posOffset>
            </wp:positionV>
            <wp:extent cx="72034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17145"/>
                    </a:xfrm>
                    <a:prstGeom prst="rect">
                      <a:avLst/>
                    </a:prstGeom>
                    <a:noFill/>
                  </pic:spPr>
                </pic:pic>
              </a:graphicData>
            </a:graphic>
          </wp:anchor>
        </w:drawing>
        <w:t>See accompanying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4036695</wp:posOffset>
            </wp:positionH>
            <wp:positionV relativeFrom="paragraph">
              <wp:posOffset>-119380</wp:posOffset>
            </wp:positionV>
            <wp:extent cx="24352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5225" cy="8890"/>
                    </a:xfrm>
                    <a:prstGeom prst="rect">
                      <a:avLst/>
                    </a:prstGeom>
                    <a:noFill/>
                  </pic:spPr>
                </pic:pic>
              </a:graphicData>
            </a:graphic>
          </wp:anchor>
        </w:drawing>
      </w:r>
    </w:p>
    <w:p>
      <w:pPr>
        <w:sectPr>
          <w:pgSz w:w="11900" w:h="16838" w:orient="portrait"/>
          <w:cols w:equalWidth="0" w:num="1">
            <w:col w:w="9019"/>
          </w:cols>
          <w:pgMar w:left="1440" w:top="173"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019"/>
          </w:cols>
          <w:pgMar w:left="1440" w:top="173" w:right="1440" w:bottom="1440" w:gutter="0" w:footer="0" w:header="0"/>
          <w:type w:val="continuous"/>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30" w:lineRule="exact"/>
        <w:rPr>
          <w:sz w:val="20"/>
          <w:szCs w:val="20"/>
          <w:color w:val="auto"/>
        </w:rPr>
      </w:pPr>
    </w:p>
    <w:tbl>
      <w:tblPr>
        <w:tblLayout w:type="fixed"/>
        <w:tblInd w:w="300" w:type="dxa"/>
        <w:tblCellMar>
          <w:top w:w="0" w:type="dxa"/>
          <w:left w:w="0" w:type="dxa"/>
          <w:bottom w:w="0" w:type="dxa"/>
          <w:right w:w="0" w:type="dxa"/>
        </w:tblCellMar>
      </w:tblPr>
      <w:tr>
        <w:trPr>
          <w:trHeight w:val="195"/>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80" w:type="dxa"/>
            <w:vAlign w:val="bottom"/>
            <w:gridSpan w:val="4"/>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2019</w:t>
            </w:r>
          </w:p>
        </w:tc>
        <w:tc>
          <w:tcPr>
            <w:tcW w:w="2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8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251,392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231,124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734,474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648,209</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167,542</w:t>
            </w:r>
          </w:p>
        </w:tc>
        <w:tc>
          <w:tcPr>
            <w:tcW w:w="2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152,157</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487,228</w:t>
            </w:r>
          </w:p>
        </w:tc>
        <w:tc>
          <w:tcPr>
            <w:tcW w:w="1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429,907</w:t>
            </w:r>
          </w:p>
        </w:tc>
        <w:tc>
          <w:tcPr>
            <w:tcW w:w="0" w:type="dxa"/>
            <w:vAlign w:val="bottom"/>
          </w:tcPr>
          <w:p>
            <w:pPr>
              <w:spacing w:after="0"/>
              <w:rPr>
                <w:sz w:val="1"/>
                <w:szCs w:val="1"/>
                <w:color w:val="auto"/>
              </w:rPr>
            </w:pPr>
          </w:p>
        </w:tc>
      </w:tr>
      <w:tr>
        <w:trPr>
          <w:trHeight w:val="264"/>
        </w:trPr>
        <w:tc>
          <w:tcPr>
            <w:tcW w:w="492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5"/>
                <w:szCs w:val="25"/>
                <w:b w:val="1"/>
                <w:bCs w:val="1"/>
                <w:color w:val="auto"/>
                <w:vertAlign w:val="superscript"/>
              </w:rPr>
              <w:t>(1)</w:t>
            </w:r>
          </w:p>
        </w:tc>
        <w:tc>
          <w:tcPr>
            <w:tcW w:w="26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83,850</w:t>
            </w:r>
          </w:p>
        </w:tc>
        <w:tc>
          <w:tcPr>
            <w:tcW w:w="2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78,967</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247,246</w:t>
            </w:r>
          </w:p>
        </w:tc>
        <w:tc>
          <w:tcPr>
            <w:tcW w:w="180" w:type="dxa"/>
            <w:vAlign w:val="bottom"/>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218,302</w:t>
            </w:r>
          </w:p>
        </w:tc>
        <w:tc>
          <w:tcPr>
            <w:tcW w:w="0" w:type="dxa"/>
            <w:vAlign w:val="bottom"/>
          </w:tcPr>
          <w:p>
            <w:pPr>
              <w:spacing w:after="0"/>
              <w:rPr>
                <w:sz w:val="1"/>
                <w:szCs w:val="1"/>
                <w:color w:val="auto"/>
              </w:rPr>
            </w:pPr>
          </w:p>
        </w:tc>
      </w:tr>
      <w:tr>
        <w:trPr>
          <w:trHeight w:val="22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9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29,590</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93,349</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85,610</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18,302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53,996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45,593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13,047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14,099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39,466</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35,185</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7,296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61,428</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59,293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194,107</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166,388</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22,422</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19,674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53,139</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51,914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3,471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3,414</w:t>
            </w:r>
          </w:p>
        </w:tc>
        <w:tc>
          <w:tcPr>
            <w:tcW w:w="0" w:type="dxa"/>
            <w:vAlign w:val="bottom"/>
          </w:tcPr>
          <w:p>
            <w:pPr>
              <w:spacing w:after="0"/>
              <w:rPr>
                <w:sz w:val="1"/>
                <w:szCs w:val="1"/>
                <w:color w:val="auto"/>
              </w:rPr>
            </w:pPr>
          </w:p>
        </w:tc>
      </w:tr>
      <w:tr>
        <w:trPr>
          <w:trHeight w:val="243"/>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4,563</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13,088</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8,232</w:t>
            </w:r>
          </w:p>
        </w:tc>
        <w:tc>
          <w:tcPr>
            <w:tcW w:w="0" w:type="dxa"/>
            <w:vAlign w:val="bottom"/>
          </w:tcPr>
          <w:p>
            <w:pPr>
              <w:spacing w:after="0"/>
              <w:rPr>
                <w:sz w:val="1"/>
                <w:szCs w:val="1"/>
                <w:color w:val="auto"/>
              </w:rPr>
            </w:pPr>
          </w:p>
        </w:tc>
      </w:tr>
      <w:tr>
        <w:trPr>
          <w:trHeight w:val="201"/>
        </w:trPr>
        <w:tc>
          <w:tcPr>
            <w:tcW w:w="4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w:t>
            </w: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26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24,814</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21,050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59,072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59,841</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5,701</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5,739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12,571</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6,796</w:t>
            </w:r>
          </w:p>
        </w:tc>
        <w:tc>
          <w:tcPr>
            <w:tcW w:w="0" w:type="dxa"/>
            <w:vAlign w:val="bottom"/>
          </w:tcPr>
          <w:p>
            <w:pPr>
              <w:spacing w:after="0"/>
              <w:rPr>
                <w:sz w:val="1"/>
                <w:szCs w:val="1"/>
                <w:color w:val="auto"/>
              </w:rPr>
            </w:pPr>
          </w:p>
        </w:tc>
      </w:tr>
      <w:tr>
        <w:trPr>
          <w:trHeight w:val="23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2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19,113</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15,311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46,501</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53,045</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198</w:t>
            </w:r>
          </w:p>
        </w:tc>
        <w:tc>
          <w:tcPr>
            <w:tcW w:w="1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01"/>
        </w:trPr>
        <w:tc>
          <w:tcPr>
            <w:tcW w:w="49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Net income attributable to ExlService Holdings, Inc.</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19,044</w:t>
            </w:r>
          </w:p>
        </w:tc>
        <w:tc>
          <w:tcPr>
            <w:tcW w:w="2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15,249</w:t>
            </w:r>
          </w:p>
        </w:tc>
        <w:tc>
          <w:tcPr>
            <w:tcW w:w="100" w:type="dxa"/>
            <w:vAlign w:val="bottom"/>
          </w:tcPr>
          <w:p>
            <w:pPr>
              <w:spacing w:after="0"/>
              <w:rPr>
                <w:sz w:val="17"/>
                <w:szCs w:val="17"/>
                <w:color w:val="auto"/>
              </w:rPr>
            </w:pPr>
          </w:p>
        </w:tc>
        <w:tc>
          <w:tcPr>
            <w:tcW w:w="24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46,303</w:t>
            </w:r>
          </w:p>
        </w:tc>
        <w:tc>
          <w:tcPr>
            <w:tcW w:w="180" w:type="dxa"/>
            <w:vAlign w:val="bottom"/>
          </w:tcPr>
          <w:p>
            <w:pPr>
              <w:spacing w:after="0"/>
              <w:rPr>
                <w:sz w:val="17"/>
                <w:szCs w:val="17"/>
                <w:color w:val="auto"/>
              </w:rPr>
            </w:pP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vMerge w:val="restart"/>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52,869</w:t>
            </w:r>
          </w:p>
        </w:tc>
        <w:tc>
          <w:tcPr>
            <w:tcW w:w="0" w:type="dxa"/>
            <w:vAlign w:val="bottom"/>
          </w:tcPr>
          <w:p>
            <w:pPr>
              <w:spacing w:after="0"/>
              <w:rPr>
                <w:sz w:val="1"/>
                <w:szCs w:val="1"/>
                <w:color w:val="auto"/>
              </w:rPr>
            </w:pPr>
          </w:p>
        </w:tc>
      </w:tr>
      <w:tr>
        <w:trPr>
          <w:trHeight w:val="285"/>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26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vMerge w:val="continue"/>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vMerge w:val="continue"/>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920" w:type="dxa"/>
            <w:vAlign w:val="bottom"/>
            <w:shd w:val="clear" w:color="auto" w:fill="CCEEFF"/>
          </w:tcPr>
          <w:p>
            <w:pPr>
              <w:ind w:left="20"/>
              <w:spacing w:after="0" w:line="185"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w:t>
            </w: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w:t>
            </w:r>
          </w:p>
        </w:tc>
        <w:tc>
          <w:tcPr>
            <w:tcW w:w="2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1.35</w:t>
            </w:r>
          </w:p>
        </w:tc>
        <w:tc>
          <w:tcPr>
            <w:tcW w:w="18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0.55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5"/>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shares used in computing earnings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 share attributable to ExlService Holdings, Inc. stockholders:</w:t>
            </w: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34,322,449</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34,458,520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34,382,787</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34,472,232</w:t>
            </w:r>
          </w:p>
        </w:tc>
        <w:tc>
          <w:tcPr>
            <w:tcW w:w="0" w:type="dxa"/>
            <w:vAlign w:val="bottom"/>
          </w:tcPr>
          <w:p>
            <w:pPr>
              <w:spacing w:after="0"/>
              <w:rPr>
                <w:sz w:val="1"/>
                <w:szCs w:val="1"/>
                <w:color w:val="auto"/>
              </w:rPr>
            </w:pPr>
          </w:p>
        </w:tc>
      </w:tr>
      <w:tr>
        <w:trPr>
          <w:trHeight w:val="243"/>
        </w:trPr>
        <w:tc>
          <w:tcPr>
            <w:tcW w:w="49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34,699,497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35,207,991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34,744,968</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35,217,814</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54"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240" w:top="333" w:right="51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560" w:type="dxa"/>
        <w:tblCellMar>
          <w:top w:w="0" w:type="dxa"/>
          <w:left w:w="0" w:type="dxa"/>
          <w:bottom w:w="0" w:type="dxa"/>
          <w:right w:w="0" w:type="dxa"/>
        </w:tblCellMar>
      </w:tblPr>
      <w:tr>
        <w:trPr>
          <w:trHeight w:val="195"/>
        </w:trPr>
        <w:tc>
          <w:tcPr>
            <w:tcW w:w="5460" w:type="dxa"/>
            <w:vAlign w:val="bottom"/>
          </w:tcPr>
          <w:p>
            <w:pPr>
              <w:spacing w:after="0"/>
              <w:rPr>
                <w:sz w:val="16"/>
                <w:szCs w:val="16"/>
                <w:color w:val="auto"/>
              </w:rPr>
            </w:pPr>
          </w:p>
        </w:tc>
        <w:tc>
          <w:tcPr>
            <w:tcW w:w="24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546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19,044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46,303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52,869</w:t>
            </w:r>
          </w:p>
        </w:tc>
        <w:tc>
          <w:tcPr>
            <w:tcW w:w="0" w:type="dxa"/>
            <w:vAlign w:val="bottom"/>
          </w:tcPr>
          <w:p>
            <w:pPr>
              <w:spacing w:after="0"/>
              <w:rPr>
                <w:sz w:val="1"/>
                <w:szCs w:val="1"/>
                <w:color w:val="auto"/>
              </w:rPr>
            </w:pPr>
          </w:p>
        </w:tc>
      </w:tr>
      <w:tr>
        <w:trPr>
          <w:trHeight w:val="224"/>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income/(loss):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5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Unrealized gain/(loss) on effective cash flow hedges, net of taxes ($1,791),</w:t>
            </w: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(21,218)</w:t>
            </w:r>
          </w:p>
        </w:tc>
        <w:tc>
          <w:tcPr>
            <w:tcW w:w="0" w:type="dxa"/>
            <w:vAlign w:val="bottom"/>
          </w:tcPr>
          <w:p>
            <w:pPr>
              <w:spacing w:after="0"/>
              <w:rPr>
                <w:sz w:val="1"/>
                <w:szCs w:val="1"/>
                <w:color w:val="auto"/>
              </w:rPr>
            </w:pPr>
          </w:p>
        </w:tc>
      </w:tr>
      <w:tr>
        <w:trPr>
          <w:trHeight w:val="223"/>
        </w:trPr>
        <w:tc>
          <w:tcPr>
            <w:tcW w:w="5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($3,596), $91 and ($7,969), 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Foreign currency translation loss</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(44,403)</w:t>
            </w:r>
          </w:p>
        </w:tc>
        <w:tc>
          <w:tcPr>
            <w:tcW w:w="0" w:type="dxa"/>
            <w:vAlign w:val="bottom"/>
          </w:tcPr>
          <w:p>
            <w:pPr>
              <w:spacing w:after="0"/>
              <w:rPr>
                <w:sz w:val="1"/>
                <w:szCs w:val="1"/>
                <w:color w:val="auto"/>
              </w:rPr>
            </w:pPr>
          </w:p>
        </w:tc>
      </w:tr>
      <w:tr>
        <w:trPr>
          <w:trHeight w:val="27"/>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Reclassification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(Gain)/loss on cash flow hedges, net of taxes $133, $19, ($73) and ($1,183),</w:t>
            </w: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43"/>
        </w:trPr>
        <w:tc>
          <w:tcPr>
            <w:tcW w:w="5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respectively</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Retirement benefits, net of taxes $9, ($4), $99 and ($6), respectively</w:t>
            </w:r>
            <w:r>
              <w:rPr>
                <w:rFonts w:ascii="Times New Roman" w:cs="Times New Roman" w:eastAsia="Times New Roman" w:hAnsi="Times New Roman"/>
                <w:sz w:val="21"/>
                <w:szCs w:val="21"/>
                <w:color w:val="auto"/>
                <w:vertAlign w:val="superscript"/>
              </w:rPr>
              <w:t>(2)</w:t>
            </w: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other comprehensive loss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(11,795)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(26,709)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(2,686)</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(68,620)</w:t>
            </w:r>
          </w:p>
        </w:tc>
        <w:tc>
          <w:tcPr>
            <w:tcW w:w="0" w:type="dxa"/>
            <w:vAlign w:val="bottom"/>
          </w:tcPr>
          <w:p>
            <w:pPr>
              <w:spacing w:after="0"/>
              <w:rPr>
                <w:sz w:val="1"/>
                <w:szCs w:val="1"/>
                <w:color w:val="auto"/>
              </w:rPr>
            </w:pPr>
          </w:p>
        </w:tc>
      </w:tr>
      <w:tr>
        <w:trPr>
          <w:trHeight w:val="27"/>
        </w:trPr>
        <w:tc>
          <w:tcPr>
            <w:tcW w:w="5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income/(loss)</w:t>
            </w:r>
          </w:p>
        </w:tc>
        <w:tc>
          <w:tcPr>
            <w:tcW w:w="2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7,249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(11,460)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b w:val="1"/>
                <w:bCs w:val="1"/>
                <w:color w:val="auto"/>
              </w:rPr>
              <w:t>43,617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(15,751)</w:t>
            </w: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540" w:hanging="532"/>
        <w:spacing w:after="0" w:line="259" w:lineRule="auto"/>
        <w:tabs>
          <w:tab w:leader="none" w:pos="5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either in cost of revenues or operating expenses, as applicable in the unaudited consolidated statements of income. Refer Note 17 to the unaudited consolidated financial statements.</w:t>
      </w:r>
    </w:p>
    <w:p>
      <w:pPr>
        <w:spacing w:after="0" w:line="1" w:lineRule="exact"/>
        <w:rPr>
          <w:rFonts w:ascii="Times New Roman" w:cs="Times New Roman" w:eastAsia="Times New Roman" w:hAnsi="Times New Roman"/>
          <w:sz w:val="16"/>
          <w:szCs w:val="16"/>
          <w:i w:val="1"/>
          <w:iCs w:val="1"/>
          <w:color w:val="auto"/>
        </w:rPr>
      </w:pPr>
    </w:p>
    <w:p>
      <w:pPr>
        <w:ind w:left="540" w:hanging="532"/>
        <w:spacing w:after="0" w:line="257" w:lineRule="auto"/>
        <w:tabs>
          <w:tab w:leader="none" w:pos="540" w:val="left"/>
        </w:tabs>
        <w:numPr>
          <w:ilvl w:val="0"/>
          <w:numId w:val="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These are reclassified to net income and are included in other income, net in the unaudited consolidated statements of income. Refer Note 20 to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See accompanying notes to unaudited consolidated financial statements.</w:t>
      </w: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33" w:right="2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right"/>
        <w:ind w:right="3200"/>
        <w:spacing w:after="0"/>
        <w:rPr>
          <w:sz w:val="20"/>
          <w:szCs w:val="20"/>
          <w:color w:val="auto"/>
        </w:rPr>
      </w:pPr>
      <w:r>
        <w:rPr>
          <w:rFonts w:ascii="Times New Roman" w:cs="Times New Roman" w:eastAsia="Times New Roman" w:hAnsi="Times New Roman"/>
          <w:sz w:val="18"/>
          <w:szCs w:val="18"/>
          <w:b w:val="1"/>
          <w:bCs w:val="1"/>
          <w:color w:val="auto"/>
        </w:rPr>
        <w:t>CONSOLIDATED STATEMENTS OF EQUITY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ended September 30, 2019 and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June 30, 2019</w:t>
      </w:r>
    </w:p>
    <w:p>
      <w:pPr>
        <w:spacing w:after="0" w:line="84"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Stock issued against stock-based compensation plans</w:t>
      </w:r>
    </w:p>
    <w:p>
      <w:pPr>
        <w:spacing w:after="0" w:line="1" w:lineRule="exact"/>
        <w:rPr>
          <w:sz w:val="20"/>
          <w:szCs w:val="20"/>
          <w:color w:val="auto"/>
        </w:rPr>
      </w:pPr>
    </w:p>
    <w:p>
      <w:pPr>
        <w:ind w:left="40" w:right="220"/>
        <w:spacing w:after="0" w:line="402" w:lineRule="auto"/>
        <w:rPr>
          <w:sz w:val="20"/>
          <w:szCs w:val="20"/>
          <w:color w:val="auto"/>
        </w:rPr>
      </w:pPr>
      <w:r>
        <w:rPr>
          <w:rFonts w:ascii="Times New Roman" w:cs="Times New Roman" w:eastAsia="Times New Roman" w:hAnsi="Times New Roman"/>
          <w:sz w:val="14"/>
          <w:szCs w:val="14"/>
          <w:color w:val="auto"/>
        </w:rPr>
        <w:t>Stock-based compensation Acquisition of treasury stock</w:t>
      </w:r>
    </w:p>
    <w:p>
      <w:pPr>
        <w:spacing w:after="0" w:line="1" w:lineRule="exact"/>
        <w:rPr>
          <w:sz w:val="20"/>
          <w:szCs w:val="20"/>
          <w:color w:val="auto"/>
        </w:rPr>
      </w:pPr>
    </w:p>
    <w:p>
      <w:pPr>
        <w:ind w:left="40" w:right="280"/>
        <w:spacing w:after="0" w:line="261" w:lineRule="auto"/>
        <w:rPr>
          <w:sz w:val="20"/>
          <w:szCs w:val="20"/>
          <w:color w:val="auto"/>
        </w:rPr>
      </w:pPr>
      <w:r>
        <w:rPr>
          <w:rFonts w:ascii="Times New Roman" w:cs="Times New Roman" w:eastAsia="Times New Roman" w:hAnsi="Times New Roman"/>
          <w:sz w:val="14"/>
          <w:szCs w:val="14"/>
          <w:color w:val="auto"/>
        </w:rPr>
        <w:t>Purchase of non-controlling interest</w:t>
      </w:r>
    </w:p>
    <w:p>
      <w:pPr>
        <w:spacing w:after="0" w:line="1" w:lineRule="exact"/>
        <w:rPr>
          <w:sz w:val="20"/>
          <w:szCs w:val="20"/>
          <w:color w:val="auto"/>
        </w:rPr>
      </w:pPr>
    </w:p>
    <w:p>
      <w:pPr>
        <w:ind w:left="40" w:right="380"/>
        <w:spacing w:after="0" w:line="401" w:lineRule="auto"/>
        <w:rPr>
          <w:sz w:val="20"/>
          <w:szCs w:val="20"/>
          <w:color w:val="auto"/>
        </w:rPr>
      </w:pPr>
      <w:r>
        <w:rPr>
          <w:rFonts w:ascii="Times New Roman" w:cs="Times New Roman" w:eastAsia="Times New Roman" w:hAnsi="Times New Roman"/>
          <w:sz w:val="14"/>
          <w:szCs w:val="14"/>
          <w:color w:val="auto"/>
        </w:rPr>
        <w:t>Other comprehensive loss Net income</w:t>
      </w:r>
    </w:p>
    <w:p>
      <w:pPr>
        <w:ind w:left="40" w:right="160"/>
        <w:spacing w:after="0" w:line="265" w:lineRule="auto"/>
        <w:rPr>
          <w:sz w:val="20"/>
          <w:szCs w:val="20"/>
          <w:color w:val="auto"/>
        </w:rPr>
      </w:pPr>
      <w:r>
        <w:rPr>
          <w:rFonts w:ascii="Times New Roman" w:cs="Times New Roman" w:eastAsia="Times New Roman" w:hAnsi="Times New Roman"/>
          <w:sz w:val="14"/>
          <w:szCs w:val="14"/>
          <w:b w:val="1"/>
          <w:bCs w:val="1"/>
          <w:color w:val="auto"/>
        </w:rPr>
        <w:t>Balance as of September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7"/>
                <w:szCs w:val="7"/>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7"/>
                <w:szCs w:val="7"/>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38,295,083</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378,633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511,503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(74,358)</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(4,088,759)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(174,463)</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641,353</w:t>
            </w:r>
          </w:p>
        </w:tc>
        <w:tc>
          <w:tcPr>
            <w:tcW w:w="0" w:type="dxa"/>
            <w:vAlign w:val="bottom"/>
          </w:tcPr>
          <w:p>
            <w:pPr>
              <w:spacing w:after="0"/>
              <w:rPr>
                <w:sz w:val="1"/>
                <w:szCs w:val="1"/>
                <w:color w:val="auto"/>
              </w:rPr>
            </w:pPr>
          </w:p>
        </w:tc>
      </w:tr>
      <w:tr>
        <w:trPr>
          <w:trHeight w:val="378"/>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27,271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7,427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7,427</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(125,744)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(8,346)</w:t>
            </w:r>
          </w:p>
        </w:tc>
        <w:tc>
          <w:tcPr>
            <w:tcW w:w="0" w:type="dxa"/>
            <w:vAlign w:val="bottom"/>
          </w:tcPr>
          <w:p>
            <w:pPr>
              <w:spacing w:after="0"/>
              <w:rPr>
                <w:sz w:val="1"/>
                <w:szCs w:val="1"/>
                <w:color w:val="auto"/>
              </w:rPr>
            </w:pPr>
          </w:p>
        </w:tc>
      </w:tr>
      <w:tr>
        <w:trPr>
          <w:trHeight w:val="351"/>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(11,795)</w:t>
            </w:r>
          </w:p>
        </w:tc>
        <w:tc>
          <w:tcPr>
            <w:tcW w:w="0" w:type="dxa"/>
            <w:vAlign w:val="bottom"/>
          </w:tcPr>
          <w:p>
            <w:pPr>
              <w:spacing w:after="0"/>
              <w:rPr>
                <w:sz w:val="1"/>
                <w:szCs w:val="1"/>
                <w:color w:val="auto"/>
              </w:rPr>
            </w:pPr>
          </w:p>
        </w:tc>
      </w:tr>
      <w:tr>
        <w:trPr>
          <w:trHeight w:val="275"/>
        </w:trPr>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19,044</w:t>
            </w: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19,044</w:t>
            </w:r>
          </w:p>
        </w:tc>
        <w:tc>
          <w:tcPr>
            <w:tcW w:w="0" w:type="dxa"/>
            <w:vAlign w:val="bottom"/>
          </w:tcPr>
          <w:p>
            <w:pPr>
              <w:spacing w:after="0"/>
              <w:rPr>
                <w:sz w:val="1"/>
                <w:szCs w:val="1"/>
                <w:color w:val="auto"/>
              </w:rPr>
            </w:pPr>
          </w:p>
        </w:tc>
      </w:tr>
      <w:tr>
        <w:trPr>
          <w:trHeight w:val="318"/>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38,322,354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386,060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530,547</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(86,153)</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(4,214,503)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(182,809)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647,683</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-1543050</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-1148715</wp:posOffset>
            </wp:positionV>
            <wp:extent cx="723773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-805180</wp:posOffset>
            </wp:positionV>
            <wp:extent cx="7237730" cy="2228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-410845</wp:posOffset>
            </wp:positionV>
            <wp:extent cx="723773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160"/>
            <w:col w:w="9340"/>
          </w:cols>
          <w:pgMar w:left="240" w:top="3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June 30, 2018</w:t>
      </w:r>
    </w:p>
    <w:p>
      <w:pPr>
        <w:spacing w:after="0" w:line="44"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Stock issued against stock-based compensation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7" w:lineRule="exact"/>
        <w:rPr>
          <w:sz w:val="20"/>
          <w:szCs w:val="20"/>
          <w:color w:val="auto"/>
        </w:rPr>
      </w:pPr>
    </w:p>
    <w:p>
      <w:pPr>
        <w:ind w:left="40" w:right="160"/>
        <w:spacing w:after="0" w:line="265" w:lineRule="auto"/>
        <w:rPr>
          <w:sz w:val="20"/>
          <w:szCs w:val="20"/>
          <w:color w:val="auto"/>
        </w:rPr>
      </w:pPr>
      <w:r>
        <w:rPr>
          <w:rFonts w:ascii="Times New Roman" w:cs="Times New Roman" w:eastAsia="Times New Roman" w:hAnsi="Times New Roman"/>
          <w:sz w:val="14"/>
          <w:szCs w:val="14"/>
          <w:b w:val="1"/>
          <w:bCs w:val="1"/>
          <w:color w:val="auto"/>
        </w:rPr>
        <w:t>Balance as of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000" w:type="dxa"/>
            <w:vAlign w:val="bottom"/>
            <w:gridSpan w:val="5"/>
            <w:vMerge w:val="continue"/>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7"/>
                <w:szCs w:val="7"/>
                <w:color w:val="auto"/>
              </w:rPr>
            </w:pPr>
          </w:p>
        </w:tc>
        <w:tc>
          <w:tcPr>
            <w:tcW w:w="124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81"/>
        </w:trPr>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gridSpan w:val="2"/>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7"/>
                <w:szCs w:val="7"/>
                <w:color w:val="auto"/>
              </w:rPr>
            </w:pPr>
          </w:p>
        </w:tc>
        <w:tc>
          <w:tcPr>
            <w:tcW w:w="1240" w:type="dxa"/>
            <w:vAlign w:val="bottom"/>
            <w:gridSpan w:val="2"/>
            <w:vMerge w:val="restart"/>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9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65"/>
        </w:trPr>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5"/>
                <w:szCs w:val="5"/>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4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04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1"/>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37,583,160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334,643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465,138</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(87,621)</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(3,294,846)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(126,952)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233</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585,479</w:t>
            </w:r>
          </w:p>
        </w:tc>
        <w:tc>
          <w:tcPr>
            <w:tcW w:w="0" w:type="dxa"/>
            <w:vAlign w:val="bottom"/>
          </w:tcPr>
          <w:p>
            <w:pPr>
              <w:spacing w:after="0"/>
              <w:rPr>
                <w:sz w:val="1"/>
                <w:szCs w:val="1"/>
                <w:color w:val="auto"/>
              </w:rPr>
            </w:pPr>
          </w:p>
        </w:tc>
      </w:tr>
      <w:tr>
        <w:trPr>
          <w:trHeight w:val="351"/>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120,814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4,733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4,733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5,344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(155,837)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(9,657)</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(26,709)</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(26,709)</w:t>
            </w:r>
          </w:p>
        </w:tc>
        <w:tc>
          <w:tcPr>
            <w:tcW w:w="0" w:type="dxa"/>
            <w:vAlign w:val="bottom"/>
          </w:tcPr>
          <w:p>
            <w:pPr>
              <w:spacing w:after="0"/>
              <w:rPr>
                <w:sz w:val="1"/>
                <w:szCs w:val="1"/>
                <w:color w:val="auto"/>
              </w:rPr>
            </w:pPr>
          </w:p>
        </w:tc>
      </w:tr>
      <w:tr>
        <w:trPr>
          <w:trHeight w:val="27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15,249</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15,249</w:t>
            </w:r>
          </w:p>
        </w:tc>
        <w:tc>
          <w:tcPr>
            <w:tcW w:w="0" w:type="dxa"/>
            <w:vAlign w:val="bottom"/>
          </w:tcPr>
          <w:p>
            <w:pPr>
              <w:spacing w:after="0"/>
              <w:rPr>
                <w:sz w:val="1"/>
                <w:szCs w:val="1"/>
                <w:color w:val="auto"/>
              </w:rPr>
            </w:pPr>
          </w:p>
        </w:tc>
      </w:tr>
      <w:tr>
        <w:trPr>
          <w:trHeight w:val="318"/>
        </w:trPr>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37,703,974</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344,720</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480,387</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(114,330)</w:t>
            </w:r>
          </w:p>
        </w:tc>
        <w:tc>
          <w:tcPr>
            <w:tcW w:w="12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(3,450,683)</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(136,609)</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242</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574,448</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-1491615</wp:posOffset>
            </wp:positionV>
            <wp:extent cx="723773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-1097280</wp:posOffset>
            </wp:positionV>
            <wp:extent cx="723773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-753745</wp:posOffset>
            </wp:positionV>
            <wp:extent cx="723773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-410845</wp:posOffset>
            </wp:positionV>
            <wp:extent cx="723773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2">
            <w:col w:w="1920" w:space="160"/>
            <w:col w:w="9340"/>
          </w:cols>
          <w:pgMar w:left="240" w:top="333" w:right="239" w:bottom="1440" w:gutter="0" w:footer="0" w:header="0"/>
          <w:type w:val="continuous"/>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CONSOLIDATED STATEMENTS OF EQUITY (UNAUDITED)</w:t>
      </w:r>
    </w:p>
    <w:p>
      <w:pPr>
        <w:spacing w:after="0" w:line="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 and 2018</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ectPr>
          <w:pgSz w:w="11900" w:h="16838" w:orient="portrait"/>
          <w:cols w:equalWidth="0" w:num="1">
            <w:col w:w="11420"/>
          </w:cols>
          <w:pgMar w:left="240" w:top="3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2019</w:t>
      </w:r>
    </w:p>
    <w:p>
      <w:pPr>
        <w:spacing w:after="0" w:line="84" w:lineRule="exact"/>
        <w:rPr>
          <w:sz w:val="20"/>
          <w:szCs w:val="20"/>
          <w:color w:val="auto"/>
        </w:rPr>
      </w:pPr>
    </w:p>
    <w:p>
      <w:pPr>
        <w:ind w:left="40" w:right="80"/>
        <w:spacing w:after="0" w:line="261" w:lineRule="auto"/>
        <w:rPr>
          <w:sz w:val="20"/>
          <w:szCs w:val="20"/>
          <w:color w:val="auto"/>
        </w:rPr>
      </w:pPr>
      <w:r>
        <w:rPr>
          <w:rFonts w:ascii="Times New Roman" w:cs="Times New Roman" w:eastAsia="Times New Roman" w:hAnsi="Times New Roman"/>
          <w:sz w:val="14"/>
          <w:szCs w:val="14"/>
          <w:color w:val="auto"/>
        </w:rPr>
        <w:t>Stock issued against stock-based compensation plans</w:t>
      </w:r>
    </w:p>
    <w:p>
      <w:pPr>
        <w:spacing w:after="0" w:line="1" w:lineRule="exact"/>
        <w:rPr>
          <w:sz w:val="20"/>
          <w:szCs w:val="20"/>
          <w:color w:val="auto"/>
        </w:rPr>
      </w:pPr>
    </w:p>
    <w:p>
      <w:pPr>
        <w:ind w:left="40" w:right="300"/>
        <w:spacing w:after="0" w:line="402" w:lineRule="auto"/>
        <w:rPr>
          <w:sz w:val="20"/>
          <w:szCs w:val="20"/>
          <w:color w:val="auto"/>
        </w:rPr>
      </w:pPr>
      <w:r>
        <w:rPr>
          <w:rFonts w:ascii="Times New Roman" w:cs="Times New Roman" w:eastAsia="Times New Roman" w:hAnsi="Times New Roman"/>
          <w:sz w:val="14"/>
          <w:szCs w:val="14"/>
          <w:color w:val="auto"/>
        </w:rPr>
        <w:t>Stock-based compensation Acquisition of treasury stock</w:t>
      </w:r>
    </w:p>
    <w:p>
      <w:pPr>
        <w:spacing w:after="0" w:line="1" w:lineRule="exact"/>
        <w:rPr>
          <w:sz w:val="20"/>
          <w:szCs w:val="20"/>
          <w:color w:val="auto"/>
        </w:rPr>
      </w:pPr>
    </w:p>
    <w:p>
      <w:pPr>
        <w:ind w:left="40" w:right="120"/>
        <w:spacing w:after="0" w:line="241" w:lineRule="auto"/>
        <w:rPr>
          <w:sz w:val="20"/>
          <w:szCs w:val="20"/>
          <w:color w:val="auto"/>
        </w:rPr>
      </w:pPr>
      <w:r>
        <w:rPr>
          <w:rFonts w:ascii="Times New Roman" w:cs="Times New Roman" w:eastAsia="Times New Roman" w:hAnsi="Times New Roman"/>
          <w:sz w:val="14"/>
          <w:szCs w:val="14"/>
          <w:color w:val="auto"/>
        </w:rPr>
        <w:t>Allocation of equity component related to issuance costs on convertible senior notes</w:t>
      </w:r>
    </w:p>
    <w:p>
      <w:pPr>
        <w:spacing w:after="0" w:line="15" w:lineRule="exact"/>
        <w:rPr>
          <w:sz w:val="20"/>
          <w:szCs w:val="20"/>
          <w:color w:val="auto"/>
        </w:rPr>
      </w:pPr>
    </w:p>
    <w:p>
      <w:pPr>
        <w:ind w:left="40"/>
        <w:spacing w:after="0" w:line="261" w:lineRule="auto"/>
        <w:rPr>
          <w:sz w:val="20"/>
          <w:szCs w:val="20"/>
          <w:color w:val="auto"/>
        </w:rPr>
      </w:pPr>
      <w:r>
        <w:rPr>
          <w:rFonts w:ascii="Times New Roman" w:cs="Times New Roman" w:eastAsia="Times New Roman" w:hAnsi="Times New Roman"/>
          <w:sz w:val="14"/>
          <w:szCs w:val="14"/>
          <w:color w:val="auto"/>
        </w:rPr>
        <w:t>Purchase of non-controlling interest, net of its share of income</w:t>
      </w:r>
    </w:p>
    <w:p>
      <w:pPr>
        <w:spacing w:after="0" w:line="1" w:lineRule="exact"/>
        <w:rPr>
          <w:sz w:val="20"/>
          <w:szCs w:val="20"/>
          <w:color w:val="auto"/>
        </w:rPr>
      </w:pPr>
    </w:p>
    <w:p>
      <w:pPr>
        <w:ind w:left="40" w:right="460"/>
        <w:spacing w:after="0" w:line="401" w:lineRule="auto"/>
        <w:rPr>
          <w:sz w:val="20"/>
          <w:szCs w:val="20"/>
          <w:color w:val="auto"/>
        </w:rPr>
      </w:pPr>
      <w:r>
        <w:rPr>
          <w:rFonts w:ascii="Times New Roman" w:cs="Times New Roman" w:eastAsia="Times New Roman" w:hAnsi="Times New Roman"/>
          <w:sz w:val="14"/>
          <w:szCs w:val="14"/>
          <w:color w:val="auto"/>
        </w:rPr>
        <w:t>Other comprehensive loss Net income</w:t>
      </w:r>
    </w:p>
    <w:p>
      <w:pPr>
        <w:ind w:left="40" w:right="240"/>
        <w:spacing w:after="0" w:line="265" w:lineRule="auto"/>
        <w:rPr>
          <w:sz w:val="20"/>
          <w:szCs w:val="20"/>
          <w:color w:val="auto"/>
        </w:rPr>
      </w:pPr>
      <w:r>
        <w:rPr>
          <w:rFonts w:ascii="Times New Roman" w:cs="Times New Roman" w:eastAsia="Times New Roman" w:hAnsi="Times New Roman"/>
          <w:sz w:val="14"/>
          <w:szCs w:val="14"/>
          <w:b w:val="1"/>
          <w:bCs w:val="1"/>
          <w:color w:val="auto"/>
        </w:rPr>
        <w:t>Balance as of September 30,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9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ind w:left="60"/>
              <w:spacing w:after="0" w:line="137"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6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37,850,544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364,179</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484,244</w:t>
            </w:r>
          </w:p>
        </w:tc>
        <w:tc>
          <w:tcPr>
            <w:tcW w:w="100" w:type="dxa"/>
            <w:vAlign w:val="bottom"/>
          </w:tcPr>
          <w:p>
            <w:pPr>
              <w:spacing w:after="0"/>
              <w:rPr>
                <w:sz w:val="18"/>
                <w:szCs w:val="18"/>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(83,467)</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(3,628,068)</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(146,925)</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250</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618,319</w:t>
            </w:r>
          </w:p>
        </w:tc>
        <w:tc>
          <w:tcPr>
            <w:tcW w:w="0" w:type="dxa"/>
            <w:vAlign w:val="bottom"/>
          </w:tcPr>
          <w:p>
            <w:pPr>
              <w:spacing w:after="0"/>
              <w:rPr>
                <w:sz w:val="1"/>
                <w:szCs w:val="1"/>
                <w:color w:val="auto"/>
              </w:rPr>
            </w:pPr>
          </w:p>
        </w:tc>
      </w:tr>
      <w:tr>
        <w:trPr>
          <w:trHeight w:val="378"/>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471,810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21,538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21,538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(586,435)</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(35,884)</w:t>
            </w:r>
          </w:p>
        </w:tc>
        <w:tc>
          <w:tcPr>
            <w:tcW w:w="0" w:type="dxa"/>
            <w:vAlign w:val="bottom"/>
          </w:tcPr>
          <w:p>
            <w:pPr>
              <w:spacing w:after="0"/>
              <w:rPr>
                <w:sz w:val="1"/>
                <w:szCs w:val="1"/>
                <w:color w:val="auto"/>
              </w:rPr>
            </w:pPr>
          </w:p>
        </w:tc>
      </w:tr>
      <w:tr>
        <w:trPr>
          <w:trHeight w:val="50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351"/>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(2,686)</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(2,686)</w:t>
            </w:r>
          </w:p>
        </w:tc>
        <w:tc>
          <w:tcPr>
            <w:tcW w:w="0" w:type="dxa"/>
            <w:vAlign w:val="bottom"/>
          </w:tcPr>
          <w:p>
            <w:pPr>
              <w:spacing w:after="0"/>
              <w:rPr>
                <w:sz w:val="1"/>
                <w:szCs w:val="1"/>
                <w:color w:val="auto"/>
              </w:rPr>
            </w:pPr>
          </w:p>
        </w:tc>
      </w:tr>
      <w:tr>
        <w:trPr>
          <w:trHeight w:val="275"/>
        </w:trPr>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46,303</w:t>
            </w:r>
          </w:p>
        </w:tc>
        <w:tc>
          <w:tcPr>
            <w:tcW w:w="10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46,303</w:t>
            </w:r>
          </w:p>
        </w:tc>
        <w:tc>
          <w:tcPr>
            <w:tcW w:w="0" w:type="dxa"/>
            <w:vAlign w:val="bottom"/>
          </w:tcPr>
          <w:p>
            <w:pPr>
              <w:spacing w:after="0"/>
              <w:rPr>
                <w:sz w:val="1"/>
                <w:szCs w:val="1"/>
                <w:color w:val="auto"/>
              </w:rPr>
            </w:pPr>
          </w:p>
        </w:tc>
      </w:tr>
      <w:tr>
        <w:trPr>
          <w:trHeight w:val="318"/>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38,322,354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386,060</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530,547</w:t>
            </w:r>
          </w:p>
        </w:tc>
        <w:tc>
          <w:tcPr>
            <w:tcW w:w="10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(86,153)</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(4,214,503)</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(182,809)</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647,683</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-1860550</wp:posOffset>
            </wp:positionV>
            <wp:extent cx="723773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-1465580</wp:posOffset>
            </wp:positionV>
            <wp:extent cx="723773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-1122680</wp:posOffset>
            </wp:positionV>
            <wp:extent cx="7237730" cy="31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37730" cy="31750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-582295</wp:posOffset>
            </wp:positionV>
            <wp:extent cx="723773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-239395</wp:posOffset>
            </wp:positionV>
            <wp:extent cx="7237730" cy="2228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37730" cy="2228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80"/>
            <w:col w:w="9340"/>
          </w:cols>
          <w:pgMar w:left="240" w:top="3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right="260"/>
        <w:spacing w:after="0" w:line="263" w:lineRule="auto"/>
        <w:rPr>
          <w:sz w:val="20"/>
          <w:szCs w:val="20"/>
          <w:color w:val="auto"/>
        </w:rPr>
      </w:pPr>
      <w:r>
        <w:rPr>
          <w:rFonts w:ascii="Times New Roman" w:cs="Times New Roman" w:eastAsia="Times New Roman" w:hAnsi="Times New Roman"/>
          <w:sz w:val="14"/>
          <w:szCs w:val="14"/>
          <w:b w:val="1"/>
          <w:bCs w:val="1"/>
          <w:color w:val="auto"/>
        </w:rPr>
        <w:t>Balance as of December 31, 2017</w:t>
      </w:r>
    </w:p>
    <w:p>
      <w:pPr>
        <w:ind w:left="40"/>
        <w:spacing w:after="0" w:line="262" w:lineRule="auto"/>
        <w:rPr>
          <w:sz w:val="20"/>
          <w:szCs w:val="20"/>
          <w:color w:val="auto"/>
        </w:rPr>
      </w:pPr>
      <w:r>
        <w:rPr>
          <w:rFonts w:ascii="Times New Roman" w:cs="Times New Roman" w:eastAsia="Times New Roman" w:hAnsi="Times New Roman"/>
          <w:sz w:val="14"/>
          <w:szCs w:val="14"/>
          <w:color w:val="auto"/>
        </w:rPr>
        <w:t>Impact of adoption of ASU 2016-09</w:t>
      </w:r>
    </w:p>
    <w:p>
      <w:pPr>
        <w:spacing w:after="0" w:line="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Balance as of January 1, 2018</w:t>
      </w:r>
    </w:p>
    <w:p>
      <w:pPr>
        <w:spacing w:after="0" w:line="44" w:lineRule="exact"/>
        <w:rPr>
          <w:sz w:val="20"/>
          <w:szCs w:val="20"/>
          <w:color w:val="auto"/>
        </w:rPr>
      </w:pPr>
    </w:p>
    <w:p>
      <w:pPr>
        <w:ind w:left="40" w:right="60"/>
        <w:spacing w:after="0" w:line="261" w:lineRule="auto"/>
        <w:rPr>
          <w:sz w:val="20"/>
          <w:szCs w:val="20"/>
          <w:color w:val="auto"/>
        </w:rPr>
      </w:pPr>
      <w:r>
        <w:rPr>
          <w:rFonts w:ascii="Times New Roman" w:cs="Times New Roman" w:eastAsia="Times New Roman" w:hAnsi="Times New Roman"/>
          <w:sz w:val="14"/>
          <w:szCs w:val="14"/>
          <w:color w:val="auto"/>
        </w:rPr>
        <w:t>Stock issued against stock-based compensation plans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Acquisition of treasury stock</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Non-controlling interest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107" w:lineRule="exact"/>
        <w:rPr>
          <w:sz w:val="20"/>
          <w:szCs w:val="20"/>
          <w:color w:val="auto"/>
        </w:rPr>
      </w:pPr>
    </w:p>
    <w:p>
      <w:pPr>
        <w:ind w:left="40" w:right="220"/>
        <w:spacing w:after="0" w:line="265" w:lineRule="auto"/>
        <w:rPr>
          <w:sz w:val="20"/>
          <w:szCs w:val="20"/>
          <w:color w:val="auto"/>
        </w:rPr>
      </w:pPr>
      <w:r>
        <w:rPr>
          <w:rFonts w:ascii="Times New Roman" w:cs="Times New Roman" w:eastAsia="Times New Roman" w:hAnsi="Times New Roman"/>
          <w:sz w:val="14"/>
          <w:szCs w:val="14"/>
          <w:b w:val="1"/>
          <w:bCs w:val="1"/>
          <w:color w:val="auto"/>
        </w:rPr>
        <w:t>Balance as of September 30, 2018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9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20" w:type="dxa"/>
            <w:vAlign w:val="bottom"/>
          </w:tcPr>
          <w:p>
            <w:pPr>
              <w:spacing w:after="0"/>
              <w:rPr>
                <w:sz w:val="13"/>
                <w:szCs w:val="13"/>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 -</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0"/>
        </w:trPr>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gridSpan w:val="2"/>
            <w:vMerge w:val="restart"/>
          </w:tcPr>
          <w:p>
            <w:pPr>
              <w:jc w:val="center"/>
              <w:ind w:right="240"/>
              <w:spacing w:after="0" w:line="13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1460" w:type="dxa"/>
            <w:vAlign w:val="bottom"/>
            <w:gridSpan w:val="3"/>
            <w:vMerge w:val="continue"/>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gridSpan w:val="2"/>
            <w:vMerge w:val="restart"/>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vMerge w:val="restart"/>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68"/>
        </w:trPr>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gridSpan w:val="2"/>
            <w:vMerge w:val="restart"/>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460" w:type="dxa"/>
            <w:vAlign w:val="bottom"/>
            <w:gridSpan w:val="3"/>
            <w:vMerge w:val="restart"/>
          </w:tcPr>
          <w:p>
            <w:pPr>
              <w:ind w:left="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 Loss</w:t>
            </w: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1460" w:type="dxa"/>
            <w:vAlign w:val="bottom"/>
            <w:gridSpan w:val="3"/>
            <w:vMerge w:val="continue"/>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tcPr>
          <w:p>
            <w:pPr>
              <w:spacing w:after="0"/>
              <w:rPr>
                <w:sz w:val="5"/>
                <w:szCs w:val="5"/>
                <w:color w:val="auto"/>
              </w:rPr>
            </w:pPr>
          </w:p>
        </w:tc>
        <w:tc>
          <w:tcPr>
            <w:tcW w:w="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10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gridSpan w:val="2"/>
            <w:vMerge w:val="continue"/>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1"/>
        </w:trPr>
        <w:tc>
          <w:tcPr>
            <w:tcW w:w="9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427,064</w:t>
            </w:r>
          </w:p>
        </w:tc>
        <w:tc>
          <w:tcPr>
            <w:tcW w:w="100" w:type="dxa"/>
            <w:vAlign w:val="bottom"/>
          </w:tcPr>
          <w:p>
            <w:pPr>
              <w:spacing w:after="0"/>
              <w:rPr>
                <w:sz w:val="24"/>
                <w:szCs w:val="24"/>
                <w:color w:val="auto"/>
              </w:rPr>
            </w:pPr>
          </w:p>
        </w:tc>
        <w:tc>
          <w:tcPr>
            <w:tcW w:w="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(103,816)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600,045</w:t>
            </w:r>
          </w:p>
        </w:tc>
        <w:tc>
          <w:tcPr>
            <w:tcW w:w="0" w:type="dxa"/>
            <w:vAlign w:val="bottom"/>
          </w:tcPr>
          <w:p>
            <w:pPr>
              <w:spacing w:after="0"/>
              <w:rPr>
                <w:sz w:val="1"/>
                <w:szCs w:val="1"/>
                <w:color w:val="auto"/>
              </w:rPr>
            </w:pPr>
          </w:p>
        </w:tc>
      </w:tr>
      <w:tr>
        <w:trPr>
          <w:trHeight w:val="356"/>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454</w:t>
            </w:r>
          </w:p>
        </w:tc>
        <w:tc>
          <w:tcPr>
            <w:tcW w:w="0" w:type="dxa"/>
            <w:vAlign w:val="bottom"/>
          </w:tcPr>
          <w:p>
            <w:pPr>
              <w:spacing w:after="0"/>
              <w:rPr>
                <w:sz w:val="1"/>
                <w:szCs w:val="1"/>
                <w:color w:val="auto"/>
              </w:rPr>
            </w:pPr>
          </w:p>
        </w:tc>
      </w:tr>
      <w:tr>
        <w:trPr>
          <w:trHeight w:val="245"/>
        </w:trPr>
        <w:tc>
          <w:tcPr>
            <w:tcW w:w="9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36,790,751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37</w:t>
            </w:r>
          </w:p>
        </w:tc>
        <w:tc>
          <w:tcPr>
            <w:tcW w:w="120" w:type="dxa"/>
            <w:vAlign w:val="bottom"/>
          </w:tcPr>
          <w:p>
            <w:pPr>
              <w:spacing w:after="0"/>
              <w:rPr>
                <w:sz w:val="21"/>
                <w:szCs w:val="21"/>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322,246</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427,518</w:t>
            </w:r>
          </w:p>
        </w:tc>
        <w:tc>
          <w:tcPr>
            <w:tcW w:w="100" w:type="dxa"/>
            <w:vAlign w:val="bottom"/>
          </w:tcPr>
          <w:p>
            <w:pPr>
              <w:spacing w:after="0"/>
              <w:rPr>
                <w:sz w:val="21"/>
                <w:szCs w:val="21"/>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(45,710)</w:t>
            </w:r>
          </w:p>
        </w:tc>
        <w:tc>
          <w:tcPr>
            <w:tcW w:w="10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(2,902,018)</w:t>
            </w:r>
          </w:p>
        </w:tc>
        <w:tc>
          <w:tcPr>
            <w:tcW w:w="120" w:type="dxa"/>
            <w:vAlign w:val="bottom"/>
          </w:tcPr>
          <w:p>
            <w:pPr>
              <w:spacing w:after="0"/>
              <w:rPr>
                <w:sz w:val="21"/>
                <w:szCs w:val="21"/>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(103,816)</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224</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600,499</w:t>
            </w:r>
          </w:p>
        </w:tc>
        <w:tc>
          <w:tcPr>
            <w:tcW w:w="0" w:type="dxa"/>
            <w:vAlign w:val="bottom"/>
          </w:tcPr>
          <w:p>
            <w:pPr>
              <w:spacing w:after="0"/>
              <w:rPr>
                <w:sz w:val="1"/>
                <w:szCs w:val="1"/>
                <w:color w:val="auto"/>
              </w:rPr>
            </w:pPr>
          </w:p>
        </w:tc>
      </w:tr>
      <w:tr>
        <w:trPr>
          <w:trHeight w:val="351"/>
        </w:trPr>
        <w:tc>
          <w:tcPr>
            <w:tcW w:w="9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913,223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5,163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5,164</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17,311</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(548,665)</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(32,793)</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70"/>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3"/>
                <w:szCs w:val="23"/>
                <w:color w:val="auto"/>
              </w:rPr>
            </w:pPr>
          </w:p>
        </w:tc>
        <w:tc>
          <w:tcPr>
            <w:tcW w:w="9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(68,620)</w:t>
            </w:r>
          </w:p>
        </w:tc>
        <w:tc>
          <w:tcPr>
            <w:tcW w:w="10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(68,620)</w:t>
            </w:r>
          </w:p>
        </w:tc>
        <w:tc>
          <w:tcPr>
            <w:tcW w:w="0" w:type="dxa"/>
            <w:vAlign w:val="bottom"/>
          </w:tcPr>
          <w:p>
            <w:pPr>
              <w:spacing w:after="0"/>
              <w:rPr>
                <w:sz w:val="1"/>
                <w:szCs w:val="1"/>
                <w:color w:val="auto"/>
              </w:rPr>
            </w:pPr>
          </w:p>
        </w:tc>
      </w:tr>
      <w:tr>
        <w:trPr>
          <w:trHeight w:val="275"/>
        </w:trPr>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52,869</w:t>
            </w:r>
          </w:p>
        </w:tc>
        <w:tc>
          <w:tcPr>
            <w:tcW w:w="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52,869</w:t>
            </w:r>
          </w:p>
        </w:tc>
        <w:tc>
          <w:tcPr>
            <w:tcW w:w="0" w:type="dxa"/>
            <w:vAlign w:val="bottom"/>
          </w:tcPr>
          <w:p>
            <w:pPr>
              <w:spacing w:after="0"/>
              <w:rPr>
                <w:sz w:val="1"/>
                <w:szCs w:val="1"/>
                <w:color w:val="auto"/>
              </w:rPr>
            </w:pPr>
          </w:p>
        </w:tc>
      </w:tr>
      <w:tr>
        <w:trPr>
          <w:trHeight w:val="318"/>
        </w:trPr>
        <w:tc>
          <w:tcPr>
            <w:tcW w:w="9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37,703,974</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38</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344,720</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480,387</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(114,330)</w:t>
            </w:r>
          </w:p>
        </w:tc>
        <w:tc>
          <w:tcPr>
            <w:tcW w:w="100" w:type="dxa"/>
            <w:vAlign w:val="bottom"/>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(3,450,683)</w:t>
            </w:r>
          </w:p>
        </w:tc>
        <w:tc>
          <w:tcPr>
            <w:tcW w:w="120" w:type="dxa"/>
            <w:vAlign w:val="bottom"/>
          </w:tcPr>
          <w:p>
            <w:pPr>
              <w:spacing w:after="0"/>
              <w:rPr>
                <w:sz w:val="24"/>
                <w:szCs w:val="2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(136,609)</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242</w:t>
            </w:r>
          </w:p>
        </w:tc>
        <w:tc>
          <w:tcPr>
            <w:tcW w:w="100" w:type="dxa"/>
            <w:vAlign w:val="bottom"/>
          </w:tcPr>
          <w:p>
            <w:pPr>
              <w:spacing w:after="0"/>
              <w:rPr>
                <w:sz w:val="24"/>
                <w:szCs w:val="24"/>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574,448</w:t>
            </w: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-1306195</wp:posOffset>
            </wp:positionH>
            <wp:positionV relativeFrom="paragraph">
              <wp:posOffset>-1937385</wp:posOffset>
            </wp:positionV>
            <wp:extent cx="7237730" cy="2228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37730" cy="22288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-1491615</wp:posOffset>
            </wp:positionV>
            <wp:extent cx="723773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-1097280</wp:posOffset>
            </wp:positionV>
            <wp:extent cx="723773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-753745</wp:posOffset>
            </wp:positionV>
            <wp:extent cx="723773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-410845</wp:posOffset>
            </wp:positionV>
            <wp:extent cx="723773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80" w:space="100"/>
            <w:col w:w="9340"/>
          </w:cols>
          <w:pgMar w:left="240" w:top="33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333" w:right="239" w:bottom="1440" w:gutter="0" w:footer="0" w:header="0"/>
          <w:type w:val="continuous"/>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788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17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4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788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13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0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46,303</w:t>
            </w:r>
          </w:p>
        </w:tc>
        <w:tc>
          <w:tcPr>
            <w:tcW w:w="120" w:type="dxa"/>
            <w:vAlign w:val="bottom"/>
          </w:tcPr>
          <w:p>
            <w:pPr>
              <w:spacing w:after="0"/>
              <w:rPr>
                <w:sz w:val="16"/>
                <w:szCs w:val="16"/>
                <w:color w:val="auto"/>
              </w:rPr>
            </w:pPr>
          </w:p>
        </w:tc>
        <w:tc>
          <w:tcPr>
            <w:tcW w:w="38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52,869</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39,633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35,345</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21,538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17,311</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operating lease right-of-use assets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20,544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Unrealized gain on short term investments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(7,443)</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(5,423)</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Unrealized foreign exchange loss/(gain), net</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(14,375)</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income tax benefit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(6,859)</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Allowance for doubtful accounts receivable</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433</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from equity-method investment</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176</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non-cash interest expense related to convertible senior notes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1,836</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Impairment charges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3,167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Others, net</w:t>
            </w:r>
          </w:p>
        </w:tc>
        <w:tc>
          <w:tcPr>
            <w:tcW w:w="40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(148)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 in operating assets and liabilities: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40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(16,475)</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(9,354)</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752</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(3,344)</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Advance income tax, net</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6,212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(4,228)</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assets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(1,307)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40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(1,847)</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3,247</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(5,199)</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Accrued employee costs</w:t>
            </w:r>
          </w:p>
        </w:tc>
        <w:tc>
          <w:tcPr>
            <w:tcW w:w="400" w:type="dxa"/>
            <w:vAlign w:val="bottom"/>
          </w:tcPr>
          <w:p>
            <w:pPr>
              <w:spacing w:after="0"/>
              <w:rPr>
                <w:sz w:val="16"/>
                <w:szCs w:val="16"/>
                <w:color w:val="auto"/>
              </w:rPr>
            </w:pPr>
          </w:p>
        </w:tc>
        <w:tc>
          <w:tcPr>
            <w:tcW w:w="13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3,420</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(7,680)</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40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40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12,160</w:t>
            </w: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40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(19,428)</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8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40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105,955</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47,238</w:t>
            </w:r>
          </w:p>
        </w:tc>
        <w:tc>
          <w:tcPr>
            <w:tcW w:w="0" w:type="dxa"/>
            <w:vAlign w:val="bottom"/>
          </w:tcPr>
          <w:p>
            <w:pPr>
              <w:spacing w:after="0"/>
              <w:rPr>
                <w:sz w:val="1"/>
                <w:szCs w:val="1"/>
                <w:color w:val="auto"/>
              </w:rPr>
            </w:pPr>
          </w:p>
        </w:tc>
      </w:tr>
      <w:tr>
        <w:trPr>
          <w:trHeight w:val="73"/>
        </w:trPr>
        <w:tc>
          <w:tcPr>
            <w:tcW w:w="788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80" w:type="dxa"/>
            <w:vAlign w:val="bottom"/>
            <w:tcBorders>
              <w:bottom w:val="single" w:sz="8" w:color="auto"/>
            </w:tcBorders>
            <w:shd w:val="clear" w:color="auto" w:fill="CCEEFF"/>
          </w:tcPr>
          <w:p>
            <w:pPr>
              <w:spacing w:after="0"/>
              <w:rPr>
                <w:sz w:val="6"/>
                <w:szCs w:val="6"/>
                <w:color w:val="auto"/>
              </w:rPr>
            </w:pPr>
          </w:p>
        </w:tc>
        <w:tc>
          <w:tcPr>
            <w:tcW w:w="13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111760</wp:posOffset>
            </wp:positionV>
            <wp:extent cx="723773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p>
      <w:pPr>
        <w:spacing w:after="0" w:line="1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flows from investing activities: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Purchase of property and equipment</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Purchase of non-controlling interest</w:t>
      </w:r>
    </w:p>
    <w:p>
      <w:pPr>
        <w:spacing w:after="0" w:line="109" w:lineRule="exact"/>
        <w:rPr>
          <w:sz w:val="20"/>
          <w:szCs w:val="20"/>
          <w:color w:val="auto"/>
        </w:rPr>
      </w:pPr>
    </w:p>
    <w:p>
      <w:pPr>
        <w:jc w:val="right"/>
        <w:ind w:right="4320"/>
        <w:spacing w:after="0"/>
        <w:rPr>
          <w:sz w:val="20"/>
          <w:szCs w:val="20"/>
          <w:color w:val="auto"/>
        </w:rPr>
      </w:pPr>
      <w:r>
        <w:rPr>
          <w:rFonts w:ascii="Times New Roman" w:cs="Times New Roman" w:eastAsia="Times New Roman" w:hAnsi="Times New Roman"/>
          <w:sz w:val="14"/>
          <w:szCs w:val="14"/>
          <w:color w:val="auto"/>
        </w:rPr>
        <w:t>Business acquisition (net of cash acquired)</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Purchase of investments</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color w:val="auto"/>
        </w:rPr>
        <w:t>Proceeds from redemption of investments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cash used for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1160" w:type="dxa"/>
        <w:tblCellMar>
          <w:top w:w="0" w:type="dxa"/>
          <w:left w:w="0" w:type="dxa"/>
          <w:bottom w:w="0" w:type="dxa"/>
          <w:right w:w="0" w:type="dxa"/>
        </w:tblCellMar>
      </w:tblPr>
      <w:tr>
        <w:trPr>
          <w:trHeight w:val="188"/>
        </w:trPr>
        <w:tc>
          <w:tcPr>
            <w:tcW w:w="11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w w:val="96"/>
              </w:rPr>
              <w:t>(32,308)</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(30,070)</w:t>
            </w:r>
          </w:p>
        </w:tc>
      </w:tr>
      <w:tr>
        <w:trPr>
          <w:trHeight w:val="270"/>
        </w:trPr>
        <w:tc>
          <w:tcPr>
            <w:tcW w:w="114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(241)</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-164465</wp:posOffset>
            </wp:positionV>
            <wp:extent cx="723773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6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—(231,918)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23495</wp:posOffset>
            </wp:positionV>
            <wp:extent cx="723773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7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(117,934)</w:t>
            </w:r>
          </w:p>
        </w:tc>
        <w:tc>
          <w:tcPr>
            <w:tcW w:w="12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(57,957)</w:t>
            </w:r>
          </w:p>
        </w:tc>
      </w:tr>
      <w:tr>
        <w:trPr>
          <w:trHeight w:val="275"/>
        </w:trPr>
        <w:tc>
          <w:tcPr>
            <w:tcW w:w="1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129,143</w:t>
            </w:r>
          </w:p>
        </w:tc>
        <w:tc>
          <w:tcPr>
            <w:tcW w:w="120" w:type="dxa"/>
            <w:vAlign w:val="bottom"/>
          </w:tcPr>
          <w:p>
            <w:pPr>
              <w:spacing w:after="0"/>
              <w:rPr>
                <w:sz w:val="23"/>
                <w:szCs w:val="23"/>
                <w:color w:val="auto"/>
              </w:rPr>
            </w:pPr>
          </w:p>
        </w:tc>
        <w:tc>
          <w:tcPr>
            <w:tcW w:w="16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79,536</w:t>
            </w:r>
          </w:p>
        </w:tc>
      </w:tr>
      <w:tr>
        <w:trPr>
          <w:trHeight w:val="250"/>
        </w:trPr>
        <w:tc>
          <w:tcPr>
            <w:tcW w:w="17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(21,340)</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(240,409)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-5001895</wp:posOffset>
            </wp:positionH>
            <wp:positionV relativeFrom="paragraph">
              <wp:posOffset>-179705</wp:posOffset>
            </wp:positionV>
            <wp:extent cx="723773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37730" cy="171450"/>
                    </a:xfrm>
                    <a:prstGeom prst="rect">
                      <a:avLst/>
                    </a:prstGeom>
                    <a:noFill/>
                  </pic:spPr>
                </pic:pic>
              </a:graphicData>
            </a:graphic>
          </wp:anchor>
        </w:drawing>
        <w:drawing>
          <wp:anchor simplePos="0" relativeHeight="251657728" behindDoc="1" locked="0" layoutInCell="0" allowOverlap="1">
            <wp:simplePos x="0" y="0"/>
            <wp:positionH relativeFrom="column">
              <wp:posOffset>-5001895</wp:posOffset>
            </wp:positionH>
            <wp:positionV relativeFrom="paragraph">
              <wp:posOffset>111760</wp:posOffset>
            </wp:positionV>
            <wp:extent cx="723773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180" w:space="720"/>
            <w:col w:w="3520"/>
          </w:cols>
          <w:pgMar w:left="240" w:top="333" w:right="2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14"/>
          <w:szCs w:val="14"/>
          <w:color w:val="auto"/>
        </w:rPr>
        <w:t>Cash flows from financing activities: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Principal payments on finance lease liabilities</w:t>
            </w:r>
          </w:p>
        </w:tc>
        <w:tc>
          <w:tcPr>
            <w:tcW w:w="600" w:type="dxa"/>
            <w:vAlign w:val="bottom"/>
          </w:tcPr>
          <w:p>
            <w:pPr>
              <w:spacing w:after="0"/>
              <w:rPr>
                <w:sz w:val="16"/>
                <w:szCs w:val="16"/>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borrowings</w:t>
            </w:r>
          </w:p>
        </w:tc>
        <w:tc>
          <w:tcPr>
            <w:tcW w:w="6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46,000</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245,000</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Repayments of borrowings</w:t>
            </w:r>
          </w:p>
        </w:tc>
        <w:tc>
          <w:tcPr>
            <w:tcW w:w="600" w:type="dxa"/>
            <w:vAlign w:val="bottom"/>
          </w:tcPr>
          <w:p>
            <w:pPr>
              <w:spacing w:after="0"/>
              <w:rPr>
                <w:sz w:val="16"/>
                <w:szCs w:val="16"/>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(87,763)</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(5,083)</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Payment of debt issuance costs</w:t>
            </w:r>
          </w:p>
        </w:tc>
        <w:tc>
          <w:tcPr>
            <w:tcW w:w="6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1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Acquisition of treasury stock</w:t>
            </w:r>
          </w:p>
        </w:tc>
        <w:tc>
          <w:tcPr>
            <w:tcW w:w="600" w:type="dxa"/>
            <w:vAlign w:val="bottom"/>
          </w:tcPr>
          <w:p>
            <w:pPr>
              <w:spacing w:after="0"/>
              <w:rPr>
                <w:sz w:val="16"/>
                <w:szCs w:val="16"/>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(35,884)</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(32,793)</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6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338</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1,084</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for) / provided by financing activities</w:t>
            </w:r>
          </w:p>
        </w:tc>
        <w:tc>
          <w:tcPr>
            <w:tcW w:w="600" w:type="dxa"/>
            <w:vAlign w:val="bottom"/>
          </w:tcPr>
          <w:p>
            <w:pPr>
              <w:spacing w:after="0"/>
              <w:rPr>
                <w:sz w:val="15"/>
                <w:szCs w:val="15"/>
                <w:color w:val="auto"/>
              </w:rPr>
            </w:pPr>
          </w:p>
        </w:tc>
        <w:tc>
          <w:tcPr>
            <w:tcW w:w="11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(77,700)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207,716</w:t>
            </w:r>
          </w:p>
        </w:tc>
        <w:tc>
          <w:tcPr>
            <w:tcW w:w="0" w:type="dxa"/>
            <w:vAlign w:val="bottom"/>
          </w:tcPr>
          <w:p>
            <w:pPr>
              <w:spacing w:after="0"/>
              <w:rPr>
                <w:sz w:val="1"/>
                <w:szCs w:val="1"/>
                <w:color w:val="auto"/>
              </w:rPr>
            </w:pPr>
          </w:p>
        </w:tc>
      </w:tr>
      <w:tr>
        <w:trPr>
          <w:trHeight w:val="73"/>
        </w:trPr>
        <w:tc>
          <w:tcPr>
            <w:tcW w:w="788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600" w:type="dxa"/>
            <w:vAlign w:val="bottom"/>
            <w:shd w:val="clear" w:color="auto" w:fill="CCEEFF"/>
          </w:tcPr>
          <w:p>
            <w:pPr>
              <w:spacing w:after="0"/>
              <w:rPr>
                <w:sz w:val="15"/>
                <w:szCs w:val="15"/>
                <w:color w:val="auto"/>
              </w:rPr>
            </w:pPr>
          </w:p>
        </w:tc>
        <w:tc>
          <w:tcPr>
            <w:tcW w:w="11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(1,761)</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w:t>
            </w:r>
          </w:p>
        </w:tc>
        <w:tc>
          <w:tcPr>
            <w:tcW w:w="600" w:type="dxa"/>
            <w:vAlign w:val="bottom"/>
          </w:tcPr>
          <w:p>
            <w:pPr>
              <w:spacing w:after="0"/>
              <w:rPr>
                <w:sz w:val="15"/>
                <w:szCs w:val="15"/>
                <w:color w:val="auto"/>
              </w:rPr>
            </w:pP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5,154</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11,537</w:t>
            </w:r>
          </w:p>
        </w:tc>
        <w:tc>
          <w:tcPr>
            <w:tcW w:w="0" w:type="dxa"/>
            <w:vAlign w:val="bottom"/>
          </w:tcPr>
          <w:p>
            <w:pPr>
              <w:spacing w:after="0"/>
              <w:rPr>
                <w:sz w:val="1"/>
                <w:szCs w:val="1"/>
                <w:color w:val="auto"/>
              </w:rPr>
            </w:pPr>
          </w:p>
        </w:tc>
      </w:tr>
      <w:tr>
        <w:trPr>
          <w:trHeight w:val="73"/>
        </w:trPr>
        <w:tc>
          <w:tcPr>
            <w:tcW w:w="7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60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104,131</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94,277</w:t>
            </w: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10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6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109,285</w:t>
            </w:r>
          </w:p>
        </w:tc>
        <w:tc>
          <w:tcPr>
            <w:tcW w:w="120" w:type="dxa"/>
            <w:vAlign w:val="bottom"/>
          </w:tcPr>
          <w:p>
            <w:pPr>
              <w:spacing w:after="0"/>
              <w:rPr>
                <w:sz w:val="15"/>
                <w:szCs w:val="15"/>
                <w:color w:val="auto"/>
              </w:rPr>
            </w:pPr>
          </w:p>
        </w:tc>
        <w:tc>
          <w:tcPr>
            <w:tcW w:w="6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105,814</w:t>
            </w:r>
          </w:p>
        </w:tc>
        <w:tc>
          <w:tcPr>
            <w:tcW w:w="0" w:type="dxa"/>
            <w:vAlign w:val="bottom"/>
          </w:tcPr>
          <w:p>
            <w:pPr>
              <w:spacing w:after="0"/>
              <w:rPr>
                <w:sz w:val="1"/>
                <w:szCs w:val="1"/>
                <w:color w:val="auto"/>
              </w:rPr>
            </w:pPr>
          </w:p>
        </w:tc>
      </w:tr>
      <w:tr>
        <w:trPr>
          <w:trHeight w:val="99"/>
        </w:trPr>
        <w:tc>
          <w:tcPr>
            <w:tcW w:w="788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12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600" w:type="dxa"/>
            <w:vAlign w:val="bottom"/>
            <w:tcBorders>
              <w:bottom w:val="single" w:sz="8" w:color="auto"/>
            </w:tcBorders>
            <w:vMerge w:val="continue"/>
          </w:tcPr>
          <w:p>
            <w:pPr>
              <w:spacing w:after="0"/>
              <w:rPr>
                <w:sz w:val="8"/>
                <w:szCs w:val="8"/>
                <w:color w:val="auto"/>
              </w:rPr>
            </w:pPr>
          </w:p>
        </w:tc>
        <w:tc>
          <w:tcPr>
            <w:tcW w:w="108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78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Non-cash investing and financing transaction</w:t>
            </w:r>
          </w:p>
        </w:tc>
        <w:tc>
          <w:tcPr>
            <w:tcW w:w="6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8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common stock issued for business acquisition</w:t>
            </w:r>
          </w:p>
        </w:tc>
        <w:tc>
          <w:tcPr>
            <w:tcW w:w="6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4,080</w:t>
            </w:r>
          </w:p>
        </w:tc>
        <w:tc>
          <w:tcPr>
            <w:tcW w:w="0" w:type="dxa"/>
            <w:vAlign w:val="bottom"/>
          </w:tcPr>
          <w:p>
            <w:pPr>
              <w:spacing w:after="0"/>
              <w:rPr>
                <w:sz w:val="1"/>
                <w:szCs w:val="1"/>
                <w:color w:val="auto"/>
              </w:rPr>
            </w:pPr>
          </w:p>
        </w:tc>
      </w:tr>
      <w:tr>
        <w:trPr>
          <w:trHeight w:val="68"/>
        </w:trPr>
        <w:tc>
          <w:tcPr>
            <w:tcW w:w="78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33" w:right="239" w:bottom="0" w:gutter="0" w:footer="0" w:header="0"/>
          <w:type w:val="continuous"/>
        </w:sect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consolidated financial statements.</w:t>
      </w:r>
    </w:p>
    <w:p>
      <w:pPr>
        <w:sectPr>
          <w:pgSz w:w="11900" w:h="16838" w:orient="portrait"/>
          <w:cols w:equalWidth="0" w:num="1">
            <w:col w:w="11420"/>
          </w:cols>
          <w:pgMar w:left="240" w:top="333" w:right="239" w:bottom="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019"/>
          </w:cols>
          <w:pgMar w:left="1440" w:top="121" w:right="1440"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11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21"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ExlService Holdings, Inc. (“ExlService Holdings”) is organized as a corporation under the laws of the state of Delaware. ExlService Holdings, together with its subsidiaries and affiliates (collectively, the “Company”), operates in the Business Process Management (“BPM”) industry providing operations management services and analytics services that help businesses enhance revenue growth and improve profitability. Using its proprietary platforms, methodologies and tools, the Company looks deeper to help companies improve global operations, enhance data-driven insights, increase customer satisfaction, and manage risk and compliance. The Company’s clients are located principally in the United States of America (“U.S.”) and the United Kingdom (“U.K”).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Basis of Preparation and Principles of Consolidation</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unaudited consolidated financial statements have been prepared in conformity with United States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2018.</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unaudited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include the financial statements of ExlService Holdings and all of its subsidiaries. The standalone financial statements of subsidiaries are fully consolidated on a line-by-line basis. Intra-group balances and transactions, and gains and losses arising from intra-group transactions, are eliminated while preparing those financial statements.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Accounting policies of the respective individual subsidiary and associate are aligned, wherever necessary, so as to ensure consistency with the accounting policies that are adopted by the Company under US GAAP.</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Company’s investments in equity affiliates are initially recorded at cost and any excess cost over proportionate share of the fair value of the net assets of the investee at the acquisition date is recognized as goodwill. The proportionate share of net income or loss of the investee is recognized in the unaudited consolidated statements of income.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 Use of Estimates</w:t>
      </w:r>
    </w:p>
    <w:p>
      <w:pPr>
        <w:spacing w:after="0" w:line="12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expected recoverability from customers with contingent fee arrangements, recoverability of dues from statutory authorities, assets and obligations related to employee benefit plans, deferred tax valuation allowances, income-tax uncertainties and other contingencies, valuation of derivative financial instruments, assumptions used to calculate stock-based compensation expense, assumptions used to determine incremental borrowing rate to calculate lease liabilities and right-of-use (“ROU”) assets, lease term to calculate lease cost, depreciation and amortization periods, purchase price allocation, recoverability of long-lived assets including goodwill and intangibles, and estimated costs to complete fixed price contracts.</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3"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 Employee Benefits</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Contributions to defined contribution plans are charged to the unaudited consolidated statements of income in the period in which services are rendered by the covered employees. Current service costs for defined benefit plans are accrued in the period to which they relate. The liability in respect of defined benefit plans is calculated annually by the Company using the projected unit credit method. Prior service cost, if any, resulting from an amendment to a plan is recognized and amortized over the remaining period of service of the covered employees.</w:t>
      </w:r>
    </w:p>
    <w:p>
      <w:pPr>
        <w:spacing w:after="0" w:line="7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recognizes its liabilities for compensated absences depending on whether the obligation is attributable to employee services already rendered, relates to rights that vest or accumulate and payment is probable and estimable.</w:t>
      </w:r>
    </w:p>
    <w:p>
      <w:pPr>
        <w:spacing w:after="0" w:line="5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includes the service cost component of the net periodic benefit cost in the same line item or items as other compensation costs arising from services rendered by the respective employees during the period. The interest cost, expected return on plan assets and amortization of actuarial gains/loss are classified in “Other income, net”. Refer Note 20 to the unaudited consolidated financial statements for details.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Cash and Cash Equivalents and Restricted Cash</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ninety days or less to be cash equivalents. Pursuant to the Company’s investment policy, surplus funds are invested in highly-rated debt mutual funds, money market accounts and time deposits to reduce its exposure to market risk with regard to these funds.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Restricted cash represents amounts on deposit with banks against bank guarantees issued through banks in favor of relevant statutory authorities for equipment imports, deposits for obtaining indirect tax registrations and for demands against pending income tax assessments (refer Note 26 to the unaudited consolidated financial statements for details). These deposits with banks have maturity dates after September 30, 2020. Restricted cash presented under current assets represents funds held on behalf of clients in dedicated bank accounts.</w:t>
      </w:r>
    </w:p>
    <w:p>
      <w:pPr>
        <w:spacing w:after="0" w:line="7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purposes of the unaudited statements of cash flows, the Company includes in its cash and cash-equivalent balances those amounts that have been classified as restricted cash and restricted cash equivalents.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 Revenue Recognition</w:t>
      </w:r>
    </w:p>
    <w:p>
      <w:pPr>
        <w:spacing w:after="0" w:line="12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recognized when services are provided to the Company's customers, in an amount that reflects the consideration which the Company expects to be entitled to in exchange for the services provided.</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 is measured based on consideration specified in a contract with a customer and excludes discounts and amounts collected on behalf of third parties. The Company recognizes revenue when it satisfies a performance obligation by providing services to a customer.</w:t>
      </w:r>
    </w:p>
    <w:p>
      <w:pPr>
        <w:spacing w:after="0" w:line="5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services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derives its revenues from operations management and analytics services. The Company operates in the business process management (“BPM”) industry providing operations management and analytics services helping businesses enhance revenue growth and improve profitability. The Company provides BPM or “operations management” services, which typically involve transfer to the Company of business operations of a client, after which it administers and manages those operations for its client on an ongoing basis. The Company also provides industry-specific digital transformational services related to operations management services, and analytics services that focus on driving improved business outcomes for clients by generating data-driven insights across all parts of their business. The Company also provides care optimization and reimbursement optimization services, for its clients through its healthcare analytics solutions and services. The Company offers integrated solutions to help its clients with cost containment by leveraging technology platforms, customizable and configurable analytics and expertise in healthcare reimbursements to help clients enhance their claims payment accuracy.</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 of Contracts</w:t>
      </w:r>
    </w:p>
    <w:p>
      <w:pPr>
        <w:spacing w:after="0" w:line="119" w:lineRule="exact"/>
        <w:rPr>
          <w:sz w:val="20"/>
          <w:szCs w:val="20"/>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under time-and-material, transaction and outcome-based contracts are recognized as the services are performed. When the terms of the client contract specify service level parameters that must be met (such as turnaround time or accuracy), the Company monitors such service level parameters to determine if any service credits or penalties have been incurred. Revenues are recognized net of any penalties or service credits that are due to a client.</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arrangements involving subcontracting, either in part or whole of the assigned work, are recognized after Company’s assessment of “Principal versus agent considerations”. The Company evaluates whether it is in control of the services before the same are transferred to the customer to assess whether it is Principal or Agent in the arrangement. Revenues are recognized on Gross basis if the Company is in the capacity of Principal and on Net basis if it falls in the capacity of an agent.</w:t>
      </w:r>
    </w:p>
    <w:p>
      <w:pPr>
        <w:spacing w:after="0" w:line="20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for the Company’s fixed-price contracts are recognized using the proportional performance method when the pattern of performance under the contracts can be reasonably determined. The Company estimates the proportional performance of a contract by comparing the actual number of hours or days worked to the estimated total number of hours or days required to complete each engagement. The use of the proportional performance method requires significant judgment relative to estimating the number of hours or days required to complete the contracted scope of work, including assumptions and estimates relative to the length of time to complete the project and the nature and complexity of the work to be performed. The Company regularly monitors its estimates for completion of a project and record changes in the period in which a change in an estimate is determined. If a change in an estimate results in a projected loss on a project, such loss is recognized in the period in which it is first identified.</w:t>
      </w:r>
    </w:p>
    <w:p>
      <w:pPr>
        <w:spacing w:after="0" w:line="21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Company’s software and related services contracts, which are not significant, are primarily related to annual maintenance renewals or incremental license fees for additional users. Maintenance revenues are generally recognized on a straight-line basis over the annual contract term. Fees for incremental license without any associated services are recognized upon delivery of the related incremental license.</w:t>
      </w:r>
    </w:p>
    <w:p>
      <w:pPr>
        <w:spacing w:after="0" w:line="203"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lesser extent, certain contracts may include offerings such as sale of licenses, which may be perpetual or subscription-based. The Company recognizes revenue from distinct perpetual licenses upfront at a point in time when the software is made available to the client, whereas for a combined software license and services performance obligation, revenue is recognized over the period that the services are performed.</w:t>
      </w:r>
    </w:p>
    <w:p>
      <w:pPr>
        <w:spacing w:after="0" w:line="20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distinct subscription based licenses is recognized over the period of service performed. Revenue from any associated maintenance or ongoing support services is recognized over the term of the contract.</w:t>
      </w:r>
    </w:p>
    <w:p>
      <w:pPr>
        <w:spacing w:after="0" w:line="188"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from reimbursement optimization services having contingent fee arrangements are recognized by the Company at the point in time when a performance obligation is satisfied, which is when it identifies an overpayment claim and the same is acknowledged by its customers. In such contracts, the Company’s consideration is contingent upon the actual collections made by its customers and subsequent potential retraction claims. Based on guidance on “variable consideration” in Topic 606, the Company uses its historical experience and projections to determine the expected recoveries from its customers and recognizes revenue based upon such expected recoveries. Any adjustment required due to change in estimates are recorded in the period in which such change is identified.</w:t>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Modification to contracts</w:t>
      </w:r>
    </w:p>
    <w:p>
      <w:pPr>
        <w:spacing w:after="0" w:line="2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contracts may be modified to add, remove or change existing performance obligations. The accounting for modifications to contracts involves assessing whether the services added to an existing contract are distinct and whether the pricing is at the standalone selling price. Services added that are distinct and at standalone selling price are accounted on a prospective basis either as a separate contract, or as a termination of existing contract and creation of a new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with Multiple Performance Obligations</w:t>
      </w:r>
    </w:p>
    <w:p>
      <w:pPr>
        <w:spacing w:after="0" w:line="22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contracts with customers do not generally bundle different services together except for software and related services contracts, which are not significant, involving implementation services and post contract maintenance services. In such</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17"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software and related services contracts, revenue is allocated to each performance obligation based on the relative standalone selling price. A separate contract is generally drafted for each type of service sold, even if to the same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Variability in the transaction price arises primarily due to service level agreements, pre-payment and volume discounts.</w:t>
      </w:r>
    </w:p>
    <w:p>
      <w:pPr>
        <w:spacing w:after="0" w:line="22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considers its experience with similar transactions and expectations regarding the contract in estimating the amount of variable consideration that should be recognized during a period.</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 believes that the expected value method is most appropriate for determining the variable consideration since the Company has large number of contracts with similar nature of transactions/services.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Allocation of transaction price to performance obligations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performance obligations on a relative standalone selling price basis. Standalone selling prices are estimated by reference to the total transaction price less the sum of the observable standalone selling prices of other goods or services promised in the contract. In assessing whether to allocate variable consideration to a specific part of the contract, the Company considers the nature of the variable payment and whether it relates specifically to its efforts to satisfy a specific part of the contract.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Unbilled receivables represent revenues recognized for services rendered between the last billing date and the balance sheet date. Unbilled receivables also include revenues recognized from reimbursement optimization services when the Company identifies an overpayment claim and the same is acknowledged by its customers, however not invoiced at the balance sheet date. Accordingly, amounts for services that the Company has performed and for which an invoice has not yet been issued to the customers are presented as a part of unbilled receivables under accounts receivable.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22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 has deferred revenue attributable to certain process transition activities, with respect to its customers where such activities do not represent separate performance obligations. Revenues related to such transition activities are contract liabilities classified under “Deferred Revenue” in the Company's consolidated balance sheets and subsequently recognized over the period in which the related services are performed. Costs related to such transition activities are contract fulfillment costs, and thereby classified under “Other Current Assets” and “Other Assets” in the consolidated balance sheets, and are recognized over the estimated expected period of benefit, under Cost of Revenues in the consolidated statements of income. Deferred revenue also includes the amount for which services have been rendered but other conditions of revenue recognition are not met, for example where the Company does not have an enforceable contract.</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Acquisition Cost</w:t>
      </w:r>
    </w:p>
    <w:p>
      <w:pPr>
        <w:spacing w:after="0" w:line="2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Direct and incremental costs incurred for acquiring contracts, such as sales commissions are contract acquisition costs and thereby classified under “Other Current Assets” and “Other Assets” in the consolidated balance sheets. Such costs are amortized over the expected period of benefit and recorded under Selling and marketing expenses in the consolidated statements of income.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Upfront payment made to customer</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Upfront payments, if any, made to customers are contract assets and classified under “Other Current Assets and Other Assets” in the consolidated balance sheets. Such costs are amortized over the expected period of benefit and are recorded as an adjustment to transaction price and reduced from revenues.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117" w:right="2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 of pocket expenses</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Reimbursements of out-of-pocket expenses received from clients are included as part of revenues.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terms</w:t>
      </w:r>
    </w:p>
    <w:p>
      <w:pPr>
        <w:spacing w:after="0" w:line="22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All contracts entered into by the Company specify the payment terms and are defined for each contract separately. Usual payment terms range between 30-60 days. The Company does not have any extended payment terms clauses in existing contracts.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w:t>
      </w:r>
    </w:p>
    <w:p>
      <w:pPr>
        <w:spacing w:after="0" w:line="22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does not disclose the value of remaining performance obligations by applying the practical expedient provided in Topic 606, for contracts that meet any of the following criteria:</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with an original expected length of one year or less as determined under ASC 606,</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Company recognize revenue based on the right to invoice for service performed.</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records accounts receivable net of allowances for doubtful accounts. Allowances for doubtful accounts are established through the evaluation of aging of accounts receivables, prior collection experience, current market conditions, clients’ financial condition and the amount of accounts receivables in dispute to estimate the collectability of these accounts receivables.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 Leases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of the contract. Operating leases are included in "operating lease right-of-use ("ROU") assets", "current portion of operating lease liabilities" and "operating lease liabilities, less current portion" in the Company's unaudited consolidated balance sheets. Finance leases are included in "property and equipment", "current portion of finance lease liabilities" and "finance lease liabilities, less current portion" in the Company's unaudited consolidated balance sheets.</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during the lease term and lease liabilities represent the Company’s obligation to make lease payments arising from the lease. Operating lease ROU assets and liabilities are recognized at commencement date based on the present value of lease payments over the lease term. For leases in which the rate implicit in the lease is not readily determinable, the Company uses its incremental borrowing rate based on the information available at commencement date in determining the present value of lease payments. Lease terms include the effects of options to extend or terminate the lease when it is reasonably certain that the Company will exercise that option. Lease expense for operating lease arrangements is recognized on a straight-line basis over the lease term. The Company has lease agreements with lease and non-lease components, which are accounted for separately.</w:t>
      </w:r>
    </w:p>
    <w:p>
      <w:pPr>
        <w:spacing w:after="0" w:line="18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color w:val="auto"/>
        </w:rPr>
        <w:t xml:space="preserve">On January 1, 2019, the date of initial application, the Company adopted,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using the modified retrospective method. The modified retrospective method provides a method of recognizing those leases which had not expired as of the date of adoption of January 1, 2019. The prior period unaudited consolidated financial statements have not been retrospectively adjusted and continues to be reported under Topic 840.</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elected the practical expedient permitted under the transition guidance under Topic 842, which amongst other matters, allowed the Company (i) not to apply the recognition requirements to short-term leases (leases with a lease term of 12 months or less), (ii) not to reassess whether any expired or existing contracts are or contain leases, (iii) not to reassess the lease classification for any expired or existing leases, and (iv) not to reassess initial direct costs for any existing leases.</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adoption resulted in the recognition of ROU assets of $80,328 (net of deferred rent of $8,626) and lease liabilities of $88,954 for operating leases as of January 1, 2019. The Company's accounting for finance leases remained substantially unchanged.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adoption had no impact on opening balance of retained earnings. Refer Note 21 to the unaudited consolidated financial statements for details.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 Recent Accounting Pronouncements</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June 2016, the Financial Accounting Standards Board ("FASB") issued ASU No. 2016-13,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which requires a financial asset (or a group of financial assets) measured at amortized cost basis to be presented at the net amount expected to be collected based on historical experience, current conditions, and reasonable and supportable forecasts that affect the collectability of the reported amount. The new guidance replaces the existing incurred loss impairment model with an expected loss model which requires the use of forward-looking information to calculate credit loss estimates. These changes will result in earlier recognition of credit losses. The allowance for credit losses is a valuation account that is to be deducted from the amortized cost of the financial asset(s) so as to present the net carrying value at the amount expected to be collected on the financial asset. The new guidance is effective for fiscal years beginning after December 15, 2019, including interim periods within those fiscal years. Early adoption as of the fiscal years beginning after December 15, 2018 is permitted. The amendment should be applied using a modified retrospective approach through a cumulative-effect adjustment to retained earnings as of the effective date to align our credit loss methodology with the new standard. The Company expects that the impact of adoption of this guidance will not have material effect on its consolidated financial statements including accounting policies, processes, and systems.</w:t>
      </w:r>
    </w:p>
    <w:p>
      <w:pPr>
        <w:spacing w:after="0" w:line="78"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2018, FASB issued ASU No. 2018-13,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(Topic 820): Changes to the Disclosure Requirements for Fair Value Measurement. The amendments in this ASU modify the disclosure requirements on fair value measurements in Topic 820, based on the concepts in the Concepts Statement, including the consideration of costs and benefits. The amendments in ASU are effective for fiscal years beginning after December 15, 2019, including interim periods within those fiscal years. An entity is permitted to early adopt either the entire standard or only the provisions that eliminate or modify requirements. The adoption of this ASU is not expected to have any material effect on the Company’s consolidated financial statements.</w:t>
      </w:r>
    </w:p>
    <w:p>
      <w:pPr>
        <w:spacing w:after="0" w:line="72"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August 2018, FASB issued ASU No. 2018-14, </w:t>
      </w:r>
      <w:r>
        <w:rPr>
          <w:rFonts w:ascii="Times New Roman" w:cs="Times New Roman" w:eastAsia="Times New Roman" w:hAnsi="Times New Roman"/>
          <w:sz w:val="18"/>
          <w:szCs w:val="18"/>
          <w:i w:val="1"/>
          <w:iCs w:val="1"/>
          <w:color w:val="auto"/>
        </w:rPr>
        <w:t>Compensation-Retirement Benefits-Defined Benefit Plans-General</w:t>
      </w:r>
      <w:r>
        <w:rPr>
          <w:rFonts w:ascii="Times New Roman" w:cs="Times New Roman" w:eastAsia="Times New Roman" w:hAnsi="Times New Roman"/>
          <w:sz w:val="18"/>
          <w:szCs w:val="18"/>
          <w:color w:val="auto"/>
        </w:rPr>
        <w:t xml:space="preserve"> (Subtopic 715-20): Changes to the Disclosure Requirements for Defined Benefit Plans. The amendments in this ASU remove disclosures that no longer are considered cost beneficial, clarify the specific requirements of disclosures, and add disclosure requirements identified as relevant. The amendments in ASU are effective for fiscal years beginning after December 15, 2020. Early adoption is permitted. The adoption of this ASU is not expected to have any material effect on the Company’s consolidated financial statements.</w:t>
      </w:r>
    </w:p>
    <w:p>
      <w:pPr>
        <w:spacing w:after="0" w:line="72"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August 2018, FASB issued ASU No. 2018-15,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(Subtopic 350-40): This ASU aligns the requirements for capitalizing implementation costs incurred in a hosting arrangement that is a service contract with the requirements for capitalizing implementation costs incurred to develop or obtain internal-use software (and hosting arrangements that include an internal-use software license). Accordingly, the ASU requires an entity (customer) in a hosting arrangement that is a service contract to follow the guidance in FASB Accounting Standard Codification Subtopic 350-40 on internal-use software to determine which implementation costs to capitalize as an asset related to the service contract and which costs to expense. The ASU 2018-15 also provides guidance on amortization and impairment of any costs capitalized, along with new presentation and disclosure requirements. The new guidance is effective for fiscal years beginning after December 15, 2019. Early adoption is permitted and both prospective and retrospective transition methods are allowed. The Company is currently evaluating the impact that the adoption of this guidance will have on its consolidated financial statements.</w:t>
      </w:r>
    </w:p>
    <w:p>
      <w:pPr>
        <w:spacing w:after="0" w:line="81"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April 2019, FASB issued ASU No. 2019-04, </w:t>
      </w:r>
      <w:r>
        <w:rPr>
          <w:rFonts w:ascii="Times New Roman" w:cs="Times New Roman" w:eastAsia="Times New Roman" w:hAnsi="Times New Roman"/>
          <w:sz w:val="18"/>
          <w:szCs w:val="18"/>
          <w:i w:val="1"/>
          <w:iCs w:val="1"/>
          <w:color w:val="auto"/>
        </w:rPr>
        <w:t>Codification Improvements to Financial Instruments-Credit Losses</w:t>
      </w:r>
      <w:r>
        <w:rPr>
          <w:rFonts w:ascii="Times New Roman" w:cs="Times New Roman" w:eastAsia="Times New Roman" w:hAnsi="Times New Roman"/>
          <w:sz w:val="18"/>
          <w:szCs w:val="18"/>
          <w:color w:val="auto"/>
        </w:rPr>
        <w:t xml:space="preserve"> (Topic 326),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Hedging </w:t>
      </w:r>
      <w:r>
        <w:rPr>
          <w:rFonts w:ascii="Times New Roman" w:cs="Times New Roman" w:eastAsia="Times New Roman" w:hAnsi="Times New Roman"/>
          <w:sz w:val="18"/>
          <w:szCs w:val="18"/>
          <w:color w:val="auto"/>
        </w:rPr>
        <w:t>(Topic 815), and</w:t>
      </w:r>
      <w:r>
        <w:rPr>
          <w:rFonts w:ascii="Times New Roman" w:cs="Times New Roman" w:eastAsia="Times New Roman" w:hAnsi="Times New Roman"/>
          <w:sz w:val="18"/>
          <w:szCs w:val="18"/>
          <w:i w:val="1"/>
          <w:iCs w:val="1"/>
          <w:color w:val="auto"/>
        </w:rPr>
        <w:t xml:space="preserve"> Financial Instruments: Targeted Transition Relief </w:t>
      </w:r>
      <w:r>
        <w:rPr>
          <w:rFonts w:ascii="Times New Roman" w:cs="Times New Roman" w:eastAsia="Times New Roman" w:hAnsi="Times New Roman"/>
          <w:sz w:val="18"/>
          <w:szCs w:val="18"/>
          <w:color w:val="auto"/>
        </w:rPr>
        <w:t>(Topic 825). The amendments clarify the scope of the credit losses standard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address issues related to accrued interest receivable balances, recoveries, variable interest rates and prepayments, among other things. With respect to hedge accounting, the amendments address partial-term fair value hedges, fair value hedge basis adjustments, and certain transition requirements, among other things. With respect to recognizing and measuring financial instruments, the amendment in ASU address the scope of the guidance, the requirement for remeasurement under ASC 820 when using the measurement alternative, certain disclosure requirements and which equity securities have to be remeasured at historical exchange rates. This ASU is effective for public business entities for fiscal years beginning after December 15, 2019, including interim periods within that fiscal year. Early adoption is permitted. The Company is currently evaluating the impact that the adoption of this guidance will have on its consolidated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0"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In May 2019, FASB issued ASU No. 2019-05, </w:t>
      </w:r>
      <w:r>
        <w:rPr>
          <w:rFonts w:ascii="Times New Roman" w:cs="Times New Roman" w:eastAsia="Times New Roman" w:hAnsi="Times New Roman"/>
          <w:sz w:val="18"/>
          <w:szCs w:val="18"/>
          <w:i w:val="1"/>
          <w:iCs w:val="1"/>
          <w:color w:val="auto"/>
        </w:rPr>
        <w:t>Financial Instruments-Credit Losses</w:t>
      </w:r>
      <w:r>
        <w:rPr>
          <w:rFonts w:ascii="Times New Roman" w:cs="Times New Roman" w:eastAsia="Times New Roman" w:hAnsi="Times New Roman"/>
          <w:sz w:val="18"/>
          <w:szCs w:val="18"/>
          <w:color w:val="auto"/>
        </w:rPr>
        <w:t xml:space="preserve"> (Topic 326): Targeted Transition Relief. This ASU provide entities with the option to irrevocably elect the fair value option, on an instrument-by-instrument basis in accordance with Subtopic 825-10, for certain financial instruments that are within the scope of Subtopic 326-20, upon adopting Topic 326. The fair value option election does not apply to held-to-maturity debt securities. The amendments in this Update provide entities with targeted transition relief that is intended to increase comparability of financial statement information for some entities that otherwise would have measured similar financial instruments using different measurement methodologies. This ASU is effective for public business entities for fiscal years beginning after December 15, 2019, including interim periods within that fiscal year. Early adoption is permitted. The Company is currently evaluating the impact that the adoption of this guidance will have on its consolidated financial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 Recently Adopted Accounting Pronouncements</w:t>
      </w:r>
    </w:p>
    <w:p>
      <w:pPr>
        <w:spacing w:after="0" w:line="11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requires the identification of arrangements that should be accounted for as leases. Lease arrangements exceeding a twelve months term should be recognized as assets with corresponding liabilities on the balance sheet of the lessee. This ASU requires recognition of an ROU asset and lease obligation for those leases classified as operating leases under Topic 840, while the income statement will reflect lease expense for operating leases. The balance sheet amounts recorded for existing operating leases at the date of adoption of this ASU must be calculated using the applicable incremental borrowing rate. The Company adopted Topic 842 as of January 1, 2019 using the modified retrospective method provided by ASU 2018-11. The adoption had a material impact on the Company's unaudited consolidated balance sheets, but did not have a material impact on the Company's unaudited consolidated income statements and unaudited consolidated statements of cash flows. The most significant impact was the recognition of ROU assets and lease liabilities for operating leases, while the Company's accounting for finance leases remained substantially unchanged. Refer Note 21 to the unaudited consolidated financial statements for details.</w:t>
      </w:r>
    </w:p>
    <w:p>
      <w:pPr>
        <w:spacing w:after="0" w:line="81"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color w:val="auto"/>
        </w:rPr>
        <w:t xml:space="preserve">In July 2018, FASB issued ASU No. 2018-11,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(Topic 842), which provide entities with an additional (and optional) transition method to adopt the new leases standard. Under this new transition method, an entity initially applies the new leases standard at the adoption date and recognizes a cumulative-effect adjustment to the opening balance of retained earnings in the period of adoption. Consequently, an entity’s reporting for the comparative periods presented in the financial statements in which it adopts the new leases standard will continue to be in accordance with current GAAP (Topic 840, Leases). The Company adopted Topic 842 as of January 1, 2019 using this ASU. Refer Note 21 to the unaudited consolidated financial statements for details.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Segment and Geographical Information</w:t>
      </w:r>
    </w:p>
    <w:p>
      <w:pPr>
        <w:spacing w:after="0" w:line="229"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The Company operates in the BPM industry and is a provider of operations management and analytics services. The Company has eight operating segments, which are strategic business units that align its products and services with how it manages its business, approaches its key markets and interacts with its clients. Six of those operating segments provide BPM or “operations management” services, five of which are industry-focused operating segments (Insurance, Healthcare, Travel, Transportation and Logistics, Banking and Financial Services, and Utilities) and one of which is a “capability” operating segment (Finance and Accounting) that provides services to clients in our industry-focused segments as well as clients across other industries. In each of these six operating segments, the Company provides operations management services, which typically involve transfer to the Company of the business operations of a client, after which it administers and manages those operations for its client on an ongoing basis. The remaining two operating segments are Consulting, which provides industry-specific transformational services related to operations management services, and Analytics, which provides services that focus on driving improved business outcomes for clients by generating data-driven insights across all parts of their business.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presents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 (“TT&amp;L”)</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 (“F&amp;A”)</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hanging="327"/>
        <w:spacing w:after="0" w:line="261" w:lineRule="auto"/>
        <w:tabs>
          <w:tab w:leader="none" w:pos="7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the Company's remaining operating segments, which are the Banking and Financial Services, Utilities and Consulting operating segments).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chief operating decision maker (“CODM”) generally reviews financial information such as revenues, cost of revenues and gross profit, disaggregated by the operating segments to allocate an overall budget among the operating segments.</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does not allocate and therefore the CODM does not evaluate other operating expenses, interest expense or income taxes by segment. Many of the Company’s assets are shared by multiple operating segments. The Company manages these assets on a total Company basis, not by operating segment, and therefore asset information and capital expenditures by operating segment are not presented.</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Revenues and cost of revenues for the three months ended September 30, 2019 and 2018,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1788795</wp:posOffset>
            </wp:positionH>
            <wp:positionV relativeFrom="paragraph">
              <wp:posOffset>131445</wp:posOffset>
            </wp:positionV>
            <wp:extent cx="54629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462905" cy="8890"/>
                    </a:xfrm>
                    <a:prstGeom prst="rect">
                      <a:avLst/>
                    </a:prstGeom>
                    <a:noFill/>
                  </pic:spPr>
                </pic:pic>
              </a:graphicData>
            </a:graphic>
          </wp:anchor>
        </w:drawing>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3"/>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2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00" w:type="dxa"/>
            <w:vAlign w:val="bottom"/>
          </w:tcPr>
          <w:p>
            <w:pPr>
              <w:spacing w:after="0"/>
              <w:rPr>
                <w:sz w:val="24"/>
                <w:szCs w:val="24"/>
                <w:color w:val="auto"/>
              </w:rPr>
            </w:pPr>
          </w:p>
        </w:tc>
        <w:tc>
          <w:tcPr>
            <w:tcW w:w="104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7"/>
              </w:rPr>
              <w:t>F&amp;A</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4"/>
                <w:szCs w:val="24"/>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77,714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23,978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16,950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17,455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251,392</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tcBorders>
              <w:bottom w:val="single" w:sz="8" w:color="CCEEFF"/>
            </w:tcBorders>
          </w:tcPr>
          <w:p>
            <w:pPr>
              <w:ind w:left="4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51,487</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19,388</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9,800</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16,651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12,383</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57,833</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167,542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2740" w:type="dxa"/>
            <w:vAlign w:val="bottom"/>
            <w:tcBorders>
              <w:bottom w:val="single" w:sz="8" w:color="CCEEFF"/>
            </w:tcBorders>
            <w:shd w:val="clear" w:color="auto" w:fill="CCEEFF"/>
          </w:tcPr>
          <w:p>
            <w:pPr>
              <w:ind w:left="4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26,227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7,150</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5,072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30,920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83,850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61,428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2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 interest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expense 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13"/>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13"/>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2018</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4"/>
                <w:szCs w:val="24"/>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276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64,303</w:t>
            </w:r>
          </w:p>
        </w:tc>
        <w:tc>
          <w:tcPr>
            <w:tcW w:w="3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20,375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17,278</w:t>
            </w:r>
          </w:p>
        </w:tc>
        <w:tc>
          <w:tcPr>
            <w:tcW w:w="3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24,517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21,944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82,707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231,124</w:t>
            </w:r>
          </w:p>
        </w:tc>
        <w:tc>
          <w:tcPr>
            <w:tcW w:w="0" w:type="dxa"/>
            <w:vAlign w:val="bottom"/>
          </w:tcPr>
          <w:p>
            <w:pPr>
              <w:spacing w:after="0"/>
              <w:rPr>
                <w:sz w:val="1"/>
                <w:szCs w:val="1"/>
                <w:color w:val="auto"/>
              </w:rPr>
            </w:pPr>
          </w:p>
        </w:tc>
      </w:tr>
      <w:tr>
        <w:trPr>
          <w:trHeight w:val="270"/>
        </w:trPr>
        <w:tc>
          <w:tcPr>
            <w:tcW w:w="2760" w:type="dxa"/>
            <w:vAlign w:val="bottom"/>
            <w:tcBorders>
              <w:bottom w:val="single" w:sz="8" w:color="CCEEFF"/>
            </w:tcBorders>
            <w:gridSpan w:val="2"/>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43,524</w:t>
            </w:r>
          </w:p>
        </w:tc>
        <w:tc>
          <w:tcPr>
            <w:tcW w:w="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15,797</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9,958</w:t>
            </w:r>
          </w:p>
        </w:tc>
        <w:tc>
          <w:tcPr>
            <w:tcW w:w="1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14,917</w:t>
            </w:r>
          </w:p>
        </w:tc>
        <w:tc>
          <w:tcPr>
            <w:tcW w:w="12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14,323</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53,638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152,157</w:t>
            </w:r>
          </w:p>
        </w:tc>
        <w:tc>
          <w:tcPr>
            <w:tcW w:w="0" w:type="dxa"/>
            <w:vAlign w:val="bottom"/>
          </w:tcPr>
          <w:p>
            <w:pPr>
              <w:spacing w:after="0"/>
              <w:rPr>
                <w:sz w:val="1"/>
                <w:szCs w:val="1"/>
                <w:color w:val="auto"/>
              </w:rPr>
            </w:pPr>
          </w:p>
        </w:tc>
      </w:tr>
      <w:tr>
        <w:trPr>
          <w:trHeight w:val="264"/>
        </w:trPr>
        <w:tc>
          <w:tcPr>
            <w:tcW w:w="2760" w:type="dxa"/>
            <w:vAlign w:val="bottom"/>
            <w:gridSpan w:val="2"/>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60" w:type="dxa"/>
            <w:vAlign w:val="bottom"/>
            <w:shd w:val="clear" w:color="auto" w:fill="CCEEFF"/>
          </w:tcPr>
          <w:p>
            <w:pPr>
              <w:spacing w:after="0"/>
              <w:rPr>
                <w:sz w:val="22"/>
                <w:szCs w:val="22"/>
                <w:color w:val="auto"/>
              </w:rPr>
            </w:pP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20,779</w:t>
            </w:r>
          </w:p>
        </w:tc>
        <w:tc>
          <w:tcPr>
            <w:tcW w:w="3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4,578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7,320</w:t>
            </w:r>
          </w:p>
        </w:tc>
        <w:tc>
          <w:tcPr>
            <w:tcW w:w="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9,600</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7,621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29,069</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78,967</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6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59,293</w:t>
            </w:r>
          </w:p>
        </w:tc>
        <w:tc>
          <w:tcPr>
            <w:tcW w:w="0" w:type="dxa"/>
            <w:vAlign w:val="bottom"/>
          </w:tcPr>
          <w:p>
            <w:pPr>
              <w:spacing w:after="0"/>
              <w:rPr>
                <w:sz w:val="1"/>
                <w:szCs w:val="1"/>
                <w:color w:val="auto"/>
              </w:rPr>
            </w:pPr>
          </w:p>
        </w:tc>
      </w:tr>
      <w:tr>
        <w:trPr>
          <w:trHeight w:val="27"/>
        </w:trPr>
        <w:tc>
          <w:tcPr>
            <w:tcW w:w="2920" w:type="dxa"/>
            <w:vAlign w:val="bottom"/>
            <w:gridSpan w:val="3"/>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9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Foreign exchange gain, interest expense</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income, net</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1,376</w:t>
            </w:r>
          </w:p>
        </w:tc>
        <w:tc>
          <w:tcPr>
            <w:tcW w:w="0" w:type="dxa"/>
            <w:vAlign w:val="bottom"/>
          </w:tcPr>
          <w:p>
            <w:pPr>
              <w:spacing w:after="0"/>
              <w:rPr>
                <w:sz w:val="1"/>
                <w:szCs w:val="1"/>
                <w:color w:val="auto"/>
              </w:rPr>
            </w:pPr>
          </w:p>
        </w:tc>
      </w:tr>
      <w:tr>
        <w:trPr>
          <w:trHeight w:val="243"/>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5,739</w:t>
            </w:r>
          </w:p>
        </w:tc>
        <w:tc>
          <w:tcPr>
            <w:tcW w:w="0" w:type="dxa"/>
            <w:vAlign w:val="bottom"/>
          </w:tcPr>
          <w:p>
            <w:pPr>
              <w:spacing w:after="0"/>
              <w:rPr>
                <w:sz w:val="1"/>
                <w:szCs w:val="1"/>
                <w:color w:val="auto"/>
              </w:rPr>
            </w:pPr>
          </w:p>
        </w:tc>
      </w:tr>
      <w:tr>
        <w:trPr>
          <w:trHeight w:val="27"/>
        </w:trPr>
        <w:tc>
          <w:tcPr>
            <w:tcW w:w="27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37"/>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17145</wp:posOffset>
            </wp:positionV>
            <wp:extent cx="6515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1" w:lineRule="exact"/>
        <w:rPr>
          <w:sz w:val="20"/>
          <w:szCs w:val="20"/>
          <w:color w:val="auto"/>
        </w:rPr>
      </w:pPr>
    </w:p>
    <w:p>
      <w:pPr>
        <w:ind w:left="660" w:hanging="193"/>
        <w:spacing w:after="0"/>
        <w:tabs>
          <w:tab w:leader="none" w:pos="660"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Exclusive of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6600190</wp:posOffset>
            </wp:positionH>
            <wp:positionV relativeFrom="paragraph">
              <wp:posOffset>-153670</wp:posOffset>
            </wp:positionV>
            <wp:extent cx="65151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right="1800" w:firstLine="405"/>
        <w:spacing w:after="0" w:line="282" w:lineRule="auto"/>
        <w:rPr>
          <w:sz w:val="20"/>
          <w:szCs w:val="20"/>
          <w:color w:val="auto"/>
        </w:rPr>
      </w:pPr>
      <w:r>
        <w:rPr>
          <w:rFonts w:ascii="Times New Roman" w:cs="Times New Roman" w:eastAsia="Times New Roman" w:hAnsi="Times New Roman"/>
          <w:sz w:val="18"/>
          <w:szCs w:val="18"/>
          <w:color w:val="auto"/>
        </w:rPr>
        <w:t>Revenues and cost of revenues for the nine months ended September 30, 2019 and 2018, respectively, for each of the reportable segments,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200025</wp:posOffset>
            </wp:positionV>
            <wp:extent cx="52139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2019</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218,988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51,916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78,688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56,735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263,585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734,474</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148,085</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53,248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29,589</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46,919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37,221</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172,166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487,228</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70,903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11,314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31,769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91,419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247,246</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194,107</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5,933</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12,571</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46,303</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gridSpan w:val="3"/>
          </w:tcPr>
          <w:p>
            <w:pPr>
              <w:spacing w:after="0"/>
              <w:rPr>
                <w:sz w:val="2"/>
                <w:szCs w:val="2"/>
                <w:color w:val="auto"/>
              </w:rPr>
            </w:pPr>
          </w:p>
        </w:tc>
        <w:tc>
          <w:tcPr>
            <w:tcW w:w="12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3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8"/>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8"/>
          </w:tcPr>
          <w:p>
            <w:pPr>
              <w:ind w:left="120"/>
              <w:spacing w:after="0"/>
              <w:rPr>
                <w:sz w:val="20"/>
                <w:szCs w:val="20"/>
                <w:color w:val="auto"/>
              </w:rPr>
            </w:pPr>
            <w:r>
              <w:rPr>
                <w:rFonts w:ascii="Times New Roman" w:cs="Times New Roman" w:eastAsia="Times New Roman" w:hAnsi="Times New Roman"/>
                <w:sz w:val="14"/>
                <w:szCs w:val="14"/>
                <w:b w:val="1"/>
                <w:bCs w:val="1"/>
                <w:color w:val="auto"/>
              </w:rPr>
              <w:t>Nine months ended September 30, 2018</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60" w:type="dxa"/>
            <w:vAlign w:val="bottom"/>
          </w:tcPr>
          <w:p>
            <w:pPr>
              <w:spacing w:after="0"/>
              <w:rPr>
                <w:sz w:val="24"/>
                <w:szCs w:val="24"/>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180" w:type="dxa"/>
            <w:vAlign w:val="bottom"/>
          </w:tcPr>
          <w:p>
            <w:pPr>
              <w:spacing w:after="0"/>
              <w:rPr>
                <w:sz w:val="24"/>
                <w:szCs w:val="24"/>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00" w:type="dxa"/>
            <w:vAlign w:val="bottom"/>
          </w:tcPr>
          <w:p>
            <w:pPr>
              <w:spacing w:after="0"/>
              <w:rPr>
                <w:sz w:val="24"/>
                <w:szCs w:val="24"/>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4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2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00" w:type="dxa"/>
            <w:vAlign w:val="bottom"/>
          </w:tcPr>
          <w:p>
            <w:pPr>
              <w:spacing w:after="0"/>
              <w:rPr>
                <w:sz w:val="24"/>
                <w:szCs w:val="24"/>
                <w:color w:val="auto"/>
              </w:rPr>
            </w:pPr>
          </w:p>
        </w:tc>
        <w:tc>
          <w:tcPr>
            <w:tcW w:w="8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3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53,326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66,732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199,427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648,209</w:t>
            </w:r>
          </w:p>
        </w:tc>
        <w:tc>
          <w:tcPr>
            <w:tcW w:w="0" w:type="dxa"/>
            <w:vAlign w:val="bottom"/>
          </w:tcPr>
          <w:p>
            <w:pPr>
              <w:spacing w:after="0"/>
              <w:rPr>
                <w:sz w:val="1"/>
                <w:szCs w:val="1"/>
                <w:color w:val="auto"/>
              </w:rPr>
            </w:pPr>
          </w:p>
        </w:tc>
      </w:tr>
      <w:tr>
        <w:trPr>
          <w:trHeight w:val="270"/>
        </w:trPr>
        <w:tc>
          <w:tcPr>
            <w:tcW w:w="306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9"/>
                <w:szCs w:val="29"/>
                <w:color w:val="auto"/>
                <w:vertAlign w:val="superscript"/>
              </w:rPr>
              <w:t>(1)</w:t>
            </w: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129,984</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49,752</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31,026</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44,189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44,587</w:t>
            </w:r>
          </w:p>
        </w:tc>
        <w:tc>
          <w:tcPr>
            <w:tcW w:w="10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130,369</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429,907</w:t>
            </w:r>
          </w:p>
        </w:tc>
        <w:tc>
          <w:tcPr>
            <w:tcW w:w="0" w:type="dxa"/>
            <w:vAlign w:val="bottom"/>
          </w:tcPr>
          <w:p>
            <w:pPr>
              <w:spacing w:after="0"/>
              <w:rPr>
                <w:sz w:val="1"/>
                <w:szCs w:val="1"/>
                <w:color w:val="auto"/>
              </w:rPr>
            </w:pPr>
          </w:p>
        </w:tc>
      </w:tr>
      <w:tr>
        <w:trPr>
          <w:trHeight w:val="264"/>
        </w:trPr>
        <w:tc>
          <w:tcPr>
            <w:tcW w:w="3060" w:type="dxa"/>
            <w:vAlign w:val="bottom"/>
            <w:tcBorders>
              <w:bottom w:val="single" w:sz="8" w:color="CCEEFF"/>
            </w:tcBorders>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color w:val="auto"/>
              </w:rPr>
              <w:t>Gross profit</w:t>
            </w:r>
            <w:r>
              <w:rPr>
                <w:rFonts w:ascii="Times New Roman" w:cs="Times New Roman" w:eastAsia="Times New Roman" w:hAnsi="Times New Roman"/>
                <w:sz w:val="25"/>
                <w:szCs w:val="25"/>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63,034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13,237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22,300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28,528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22,145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69,058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218,302</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0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166,388</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interest expense</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other income, net</w:t>
            </w: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7,927</w:t>
            </w:r>
          </w:p>
        </w:tc>
        <w:tc>
          <w:tcPr>
            <w:tcW w:w="0" w:type="dxa"/>
            <w:vAlign w:val="bottom"/>
          </w:tcPr>
          <w:p>
            <w:pPr>
              <w:spacing w:after="0"/>
              <w:rPr>
                <w:sz w:val="1"/>
                <w:szCs w:val="1"/>
                <w:color w:val="auto"/>
              </w:rPr>
            </w:pPr>
          </w:p>
        </w:tc>
      </w:tr>
      <w:tr>
        <w:trPr>
          <w:trHeight w:val="243"/>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6,796</w:t>
            </w:r>
          </w:p>
        </w:tc>
        <w:tc>
          <w:tcPr>
            <w:tcW w:w="0" w:type="dxa"/>
            <w:vAlign w:val="bottom"/>
          </w:tcPr>
          <w:p>
            <w:pPr>
              <w:spacing w:after="0"/>
              <w:rPr>
                <w:sz w:val="1"/>
                <w:szCs w:val="1"/>
                <w:color w:val="auto"/>
              </w:rPr>
            </w:pPr>
          </w:p>
        </w:tc>
      </w:tr>
      <w:tr>
        <w:trPr>
          <w:trHeight w:val="27"/>
        </w:trPr>
        <w:tc>
          <w:tcPr>
            <w:tcW w:w="3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37"/>
        </w:trPr>
        <w:tc>
          <w:tcPr>
            <w:tcW w:w="3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52,869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17145</wp:posOffset>
            </wp:positionV>
            <wp:extent cx="643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p>
      <w:pPr>
        <w:spacing w:after="0" w:line="43" w:lineRule="exact"/>
        <w:rPr>
          <w:sz w:val="20"/>
          <w:szCs w:val="20"/>
          <w:color w:val="auto"/>
        </w:rPr>
      </w:pPr>
    </w:p>
    <w:p>
      <w:pPr>
        <w:ind w:left="420" w:right="7600" w:hanging="412"/>
        <w:spacing w:after="0" w:line="443" w:lineRule="auto"/>
        <w:tabs>
          <w:tab w:leader="none" w:pos="207" w:val="left"/>
        </w:tabs>
        <w:numPr>
          <w:ilvl w:val="0"/>
          <w:numId w:val="9"/>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Exclusive of depreciation and amortization. Revenues, net by service type,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6591300</wp:posOffset>
            </wp:positionH>
            <wp:positionV relativeFrom="paragraph">
              <wp:posOffset>-557530</wp:posOffset>
            </wp:positionV>
            <wp:extent cx="6432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43255" cy="8890"/>
                    </a:xfrm>
                    <a:prstGeom prst="rect">
                      <a:avLst/>
                    </a:prstGeom>
                    <a:noFill/>
                  </pic:spPr>
                </pic:pic>
              </a:graphicData>
            </a:graphic>
          </wp:anchor>
        </w:drawing>
      </w:r>
    </w:p>
    <w:tbl>
      <w:tblPr>
        <w:tblLayout w:type="fixed"/>
        <w:tblInd w:w="240" w:type="dxa"/>
        <w:tblCellMar>
          <w:top w:w="0" w:type="dxa"/>
          <w:left w:w="0" w:type="dxa"/>
          <w:bottom w:w="0" w:type="dxa"/>
          <w:right w:w="0" w:type="dxa"/>
        </w:tblCellMar>
      </w:tblPr>
      <w:tr>
        <w:trPr>
          <w:trHeight w:val="195"/>
        </w:trPr>
        <w:tc>
          <w:tcPr>
            <w:tcW w:w="5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600" w:type="dxa"/>
            <w:vAlign w:val="bottom"/>
            <w:gridSpan w:val="4"/>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9"/>
        </w:trPr>
        <w:tc>
          <w:tcPr>
            <w:tcW w:w="5120" w:type="dxa"/>
            <w:vAlign w:val="bottom"/>
            <w:shd w:val="clear" w:color="auto" w:fill="CCEEFF"/>
          </w:tcPr>
          <w:p>
            <w:pPr>
              <w:ind w:left="20"/>
              <w:spacing w:after="0" w:line="269" w:lineRule="exact"/>
              <w:rPr>
                <w:sz w:val="20"/>
                <w:szCs w:val="20"/>
                <w:color w:val="auto"/>
              </w:rPr>
            </w:pPr>
            <w:r>
              <w:rPr>
                <w:rFonts w:ascii="Times New Roman" w:cs="Times New Roman" w:eastAsia="Times New Roman" w:hAnsi="Times New Roman"/>
                <w:sz w:val="18"/>
                <w:szCs w:val="18"/>
                <w:color w:val="auto"/>
              </w:rPr>
              <w:t>BPM and related services</w:t>
            </w:r>
            <w:r>
              <w:rPr>
                <w:rFonts w:ascii="Times New Roman" w:cs="Times New Roman" w:eastAsia="Times New Roman" w:hAnsi="Times New Roman"/>
                <w:sz w:val="25"/>
                <w:szCs w:val="25"/>
                <w:color w:val="auto"/>
                <w:vertAlign w:val="superscript"/>
              </w:rPr>
              <w:t>(1)</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162,639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148,417</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470,889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448,782</w:t>
            </w:r>
          </w:p>
        </w:tc>
      </w:tr>
      <w:tr>
        <w:trPr>
          <w:trHeight w:val="24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 services</w:t>
            </w:r>
          </w:p>
        </w:tc>
        <w:tc>
          <w:tcPr>
            <w:tcW w:w="240" w:type="dxa"/>
            <w:vAlign w:val="bottom"/>
          </w:tcPr>
          <w:p>
            <w:pPr>
              <w:spacing w:after="0"/>
              <w:rPr>
                <w:sz w:val="21"/>
                <w:szCs w:val="21"/>
                <w:color w:val="auto"/>
              </w:rPr>
            </w:pPr>
          </w:p>
        </w:tc>
        <w:tc>
          <w:tcPr>
            <w:tcW w:w="12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88,753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82,707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263,585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199,427</w:t>
            </w:r>
          </w:p>
        </w:tc>
      </w:tr>
      <w:tr>
        <w:trPr>
          <w:trHeight w:val="27"/>
        </w:trPr>
        <w:tc>
          <w:tcPr>
            <w:tcW w:w="5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251,392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231,124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734,474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648,209</w:t>
            </w: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firstLine="413"/>
        <w:spacing w:after="0" w:line="225" w:lineRule="auto"/>
        <w:tabs>
          <w:tab w:leader="none" w:pos="615"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BPM and related services include revenues of the Company's five industry-focused operating segments, one capability operating segment and the consulting operating segment, which provides services related to operations management services. Refer to the reportable segment disclosure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attributes the revenues to regions based upon the location of its customers.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74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448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gridSpan w:val="2"/>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2018</w:t>
            </w:r>
          </w:p>
        </w:tc>
        <w:tc>
          <w:tcPr>
            <w:tcW w:w="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100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net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208,753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191,671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w w:val="99"/>
              </w:rPr>
              <w:t>602,758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536,956</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Non-United States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spacing w:after="0"/>
              <w:rPr>
                <w:sz w:val="21"/>
                <w:szCs w:val="21"/>
                <w:color w:val="auto"/>
              </w:rPr>
            </w:pP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00" w:type="dxa"/>
            <w:vAlign w:val="bottom"/>
          </w:tcPr>
          <w:p>
            <w:pPr>
              <w:spacing w:after="0"/>
              <w:rPr>
                <w:sz w:val="21"/>
                <w:szCs w:val="21"/>
                <w:color w:val="auto"/>
              </w:rPr>
            </w:pPr>
          </w:p>
        </w:tc>
        <w:tc>
          <w:tcPr>
            <w:tcW w:w="44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United Kingdom</w:t>
            </w: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27,884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rPr>
              <w:t>87,140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85,397</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000" w:type="dxa"/>
            <w:vAlign w:val="bottom"/>
          </w:tcPr>
          <w:p>
            <w:pPr>
              <w:spacing w:after="0"/>
              <w:rPr>
                <w:sz w:val="23"/>
                <w:szCs w:val="23"/>
                <w:color w:val="auto"/>
              </w:rPr>
            </w:pPr>
          </w:p>
        </w:tc>
        <w:tc>
          <w:tcPr>
            <w:tcW w:w="44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14,755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CCEEFF"/>
            </w:tcBorders>
            <w:shd w:val="clear" w:color="auto" w:fill="CCEEFF"/>
          </w:tcPr>
          <w:p>
            <w:pPr>
              <w:jc w:val="center"/>
              <w:ind w:left="234"/>
              <w:spacing w:after="0"/>
              <w:rPr>
                <w:sz w:val="20"/>
                <w:szCs w:val="20"/>
                <w:color w:val="auto"/>
              </w:rPr>
            </w:pPr>
            <w:r>
              <w:rPr>
                <w:rFonts w:ascii="Times New Roman" w:cs="Times New Roman" w:eastAsia="Times New Roman" w:hAnsi="Times New Roman"/>
                <w:sz w:val="18"/>
                <w:szCs w:val="18"/>
                <w:color w:val="auto"/>
              </w:rPr>
              <w:t>44,576</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25,856</w:t>
            </w:r>
          </w:p>
        </w:tc>
        <w:tc>
          <w:tcPr>
            <w:tcW w:w="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000" w:type="dxa"/>
            <w:vAlign w:val="bottom"/>
          </w:tcPr>
          <w:p>
            <w:pPr>
              <w:spacing w:after="0"/>
              <w:rPr>
                <w:sz w:val="20"/>
                <w:szCs w:val="20"/>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Non-United States</w:t>
            </w: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42,639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39,453</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w w:val="99"/>
              </w:rPr>
              <w:t>131,716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111,253</w:t>
            </w: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000" w:type="dxa"/>
            <w:vAlign w:val="bottom"/>
          </w:tcPr>
          <w:p>
            <w:pPr>
              <w:spacing w:after="0"/>
              <w:rPr>
                <w:sz w:val="21"/>
                <w:szCs w:val="21"/>
                <w:color w:val="auto"/>
              </w:rPr>
            </w:pPr>
          </w:p>
        </w:tc>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251,392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right w:val="single" w:sz="8" w:color="CCEEFF"/>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w w:val="99"/>
              </w:rPr>
              <w:t>734,474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648,209</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color w:val="auto"/>
              </w:rPr>
              <w:t>Property and equipment, net by geographic area, were as follows:</w:t>
            </w: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4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100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As of</w:t>
            </w:r>
          </w:p>
        </w:tc>
        <w:tc>
          <w:tcPr>
            <w:tcW w:w="9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000" w:type="dxa"/>
            <w:vAlign w:val="bottom"/>
          </w:tcPr>
          <w:p>
            <w:pPr>
              <w:spacing w:after="0"/>
              <w:rPr>
                <w:sz w:val="22"/>
                <w:szCs w:val="22"/>
                <w:color w:val="auto"/>
              </w:rPr>
            </w:pPr>
          </w:p>
        </w:tc>
        <w:tc>
          <w:tcPr>
            <w:tcW w:w="44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548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rPr>
              <w:t>32,488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36,152</w:t>
            </w:r>
          </w:p>
        </w:tc>
        <w:tc>
          <w:tcPr>
            <w:tcW w:w="0" w:type="dxa"/>
            <w:vAlign w:val="bottom"/>
          </w:tcPr>
          <w:p>
            <w:pPr>
              <w:spacing w:after="0"/>
              <w:rPr>
                <w:sz w:val="1"/>
                <w:szCs w:val="1"/>
                <w:color w:val="auto"/>
              </w:rPr>
            </w:pPr>
          </w:p>
        </w:tc>
      </w:tr>
      <w:tr>
        <w:trPr>
          <w:trHeight w:val="27"/>
        </w:trPr>
        <w:tc>
          <w:tcPr>
            <w:tcW w:w="5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right w:val="single" w:sz="8" w:color="CCEEFF"/>
            </w:tcBorders>
            <w:shd w:val="clear" w:color="auto" w:fill="CCEEFF"/>
          </w:tcPr>
          <w:p>
            <w:pPr>
              <w:jc w:val="center"/>
              <w:ind w:left="154"/>
              <w:spacing w:after="0"/>
              <w:rPr>
                <w:sz w:val="20"/>
                <w:szCs w:val="20"/>
                <w:color w:val="auto"/>
              </w:rPr>
            </w:pPr>
            <w:r>
              <w:rPr>
                <w:rFonts w:ascii="Times New Roman" w:cs="Times New Roman" w:eastAsia="Times New Roman" w:hAnsi="Times New Roman"/>
                <w:sz w:val="18"/>
                <w:szCs w:val="18"/>
                <w:color w:val="auto"/>
              </w:rPr>
              <w:t>32,234</w:t>
            </w:r>
          </w:p>
        </w:tc>
        <w:tc>
          <w:tcPr>
            <w:tcW w:w="10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28,254</w:t>
            </w:r>
          </w:p>
        </w:tc>
        <w:tc>
          <w:tcPr>
            <w:tcW w:w="0" w:type="dxa"/>
            <w:vAlign w:val="bottom"/>
          </w:tcPr>
          <w:p>
            <w:pPr>
              <w:spacing w:after="0"/>
              <w:rPr>
                <w:sz w:val="1"/>
                <w:szCs w:val="1"/>
                <w:color w:val="auto"/>
              </w:rPr>
            </w:pPr>
          </w:p>
        </w:tc>
      </w:tr>
      <w:tr>
        <w:trPr>
          <w:trHeight w:val="243"/>
        </w:trPr>
        <w:tc>
          <w:tcPr>
            <w:tcW w:w="5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Philippines</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center"/>
              <w:ind w:left="154"/>
              <w:spacing w:after="0"/>
              <w:rPr>
                <w:sz w:val="20"/>
                <w:szCs w:val="20"/>
                <w:color w:val="auto"/>
              </w:rPr>
            </w:pPr>
            <w:r>
              <w:rPr>
                <w:rFonts w:ascii="Times New Roman" w:cs="Times New Roman" w:eastAsia="Times New Roman" w:hAnsi="Times New Roman"/>
                <w:sz w:val="18"/>
                <w:szCs w:val="18"/>
                <w:color w:val="auto"/>
              </w:rPr>
              <w:t>10,053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7"/>
        </w:trPr>
        <w:tc>
          <w:tcPr>
            <w:tcW w:w="54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right w:val="single" w:sz="8" w:color="CCEEFF"/>
            </w:tcBorders>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8"/>
              </w:rPr>
              <w:t>3,696</w:t>
            </w:r>
          </w:p>
        </w:tc>
        <w:tc>
          <w:tcPr>
            <w:tcW w:w="100" w:type="dxa"/>
            <w:vAlign w:val="bottom"/>
            <w:tcBorders>
              <w:bottom w:val="single" w:sz="8" w:color="CCEEFF"/>
              <w:right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3,119</w:t>
            </w:r>
          </w:p>
        </w:tc>
        <w:tc>
          <w:tcPr>
            <w:tcW w:w="0" w:type="dxa"/>
            <w:vAlign w:val="bottom"/>
          </w:tcPr>
          <w:p>
            <w:pPr>
              <w:spacing w:after="0"/>
              <w:rPr>
                <w:sz w:val="1"/>
                <w:szCs w:val="1"/>
                <w:color w:val="auto"/>
              </w:rPr>
            </w:pPr>
          </w:p>
        </w:tc>
      </w:tr>
      <w:tr>
        <w:trPr>
          <w:trHeight w:val="237"/>
        </w:trPr>
        <w:tc>
          <w:tcPr>
            <w:tcW w:w="5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Borders>
              <w:top w:val="single" w:sz="8" w:color="auto"/>
            </w:tcBorders>
          </w:tcPr>
          <w:p>
            <w:pPr>
              <w:jc w:val="right"/>
              <w:ind w:right="33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center"/>
              <w:ind w:left="154"/>
              <w:spacing w:after="0"/>
              <w:rPr>
                <w:sz w:val="20"/>
                <w:szCs w:val="20"/>
                <w:color w:val="auto"/>
              </w:rPr>
            </w:pPr>
            <w:r>
              <w:rPr>
                <w:rFonts w:ascii="Times New Roman" w:cs="Times New Roman" w:eastAsia="Times New Roman" w:hAnsi="Times New Roman"/>
                <w:sz w:val="18"/>
                <w:szCs w:val="18"/>
                <w:color w:val="auto"/>
              </w:rPr>
              <w:t>78,471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73,510</w:t>
            </w: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9340" w:firstLine="8"/>
        <w:spacing w:after="0" w:line="533" w:lineRule="auto"/>
        <w:tabs>
          <w:tab w:leader="none" w:pos="18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Revenues, net Disaggregation of revenues</w:t>
      </w:r>
    </w:p>
    <w:p>
      <w:pPr>
        <w:ind w:left="4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Refer Note 3 to the unaudited consolidated financial statements for revenues disaggregated by reportable segments and geography.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balances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information about accounts receivable, contract assets and contract liabilities from contracts with customers: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2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40" w:type="dxa"/>
            <w:vAlign w:val="bottom"/>
          </w:tcPr>
          <w:p>
            <w:pPr>
              <w:spacing w:after="0"/>
              <w:rPr>
                <w:sz w:val="18"/>
                <w:szCs w:val="18"/>
                <w:color w:val="auto"/>
              </w:rPr>
            </w:pPr>
          </w:p>
        </w:tc>
      </w:tr>
      <w:tr>
        <w:trPr>
          <w:trHeight w:val="33"/>
        </w:trPr>
        <w:tc>
          <w:tcPr>
            <w:tcW w:w="75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1"/>
        </w:trPr>
        <w:tc>
          <w:tcPr>
            <w:tcW w:w="7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80" w:type="dxa"/>
            <w:vAlign w:val="bottom"/>
          </w:tcPr>
          <w:p>
            <w:pPr>
              <w:spacing w:after="0"/>
              <w:rPr>
                <w:sz w:val="20"/>
                <w:szCs w:val="20"/>
                <w:color w:val="auto"/>
              </w:rPr>
            </w:pPr>
          </w:p>
        </w:tc>
        <w:tc>
          <w:tcPr>
            <w:tcW w:w="164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33"/>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179,702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164,752</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4,528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5,445</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revenue (consideration received in advance)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7,990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6,345</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7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Consideration received for process transition activities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2,942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1,669</w:t>
            </w:r>
          </w:p>
        </w:tc>
      </w:tr>
      <w:tr>
        <w:trPr>
          <w:trHeight w:val="27"/>
        </w:trPr>
        <w:tc>
          <w:tcPr>
            <w:tcW w:w="7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38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Accounts receivable includes $80,571 and $63,952 as of September 30, 2019 and December 31, 2018, respectively, representing unbilled receivables. The Company has accrued the unbilled receivables for work performed in accordance with the terms of contracts with customers and considers no significant performance risk associated with its unbilled receivables.</w:t>
      </w:r>
    </w:p>
    <w:p>
      <w:pPr>
        <w:spacing w:after="0" w:line="68"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Contract assets represents upfront payments made to customers. These costs are amortized over the expected period of benefit and are recorded as an adjustment to transaction price and reduced from revenues.</w:t>
      </w:r>
    </w:p>
    <w:p>
      <w:pPr>
        <w:sectPr>
          <w:pgSz w:w="11900" w:h="16838" w:orient="portrait"/>
          <w:cols w:equalWidth="0" w:num="1">
            <w:col w:w="11420"/>
          </w:cols>
          <w:pgMar w:left="240" w:top="117" w:right="239" w:bottom="1440" w:gutter="0" w:footer="0" w:header="0"/>
        </w:sectPr>
      </w:pP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type w:val="continuous"/>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Contract liabilities represents that portion of deferred revenue for which payments have been received in advance from customers including revenues attributable to certain process transition activities for which costs have been capitalized by the Company as contract fulfillment costs. The contract liabilities are included within deferred revenues in the unaudited consolidated balance sheet and are recognized as revenue as (or when) the performance obligation is fulfilled under the contract.</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recognized during the three and nine months ended September 30, 2019 that was included in the contract liabilities balance at the beginning of the period was $1,086 and $5,312, respectively, and revenue recognized during the three and nine months ended September 30, 2018 that was included in the contract liabilities balance at the beginning of the period was $1,644 and $8,025,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acquisition costs</w:t>
      </w:r>
    </w:p>
    <w:p>
      <w:pPr>
        <w:spacing w:after="0" w:line="22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had contract acquisition costs of $1,132 as of September 30, 2019 and $713 as of December 31, 2018. Further, the Company capitalized $776 during the three and nine months ended September 30, 2019, respectively. The Company amortized $113 and $357 during the three and nine months ended September 30, 2019, respectively, and amortized $72 and $225 during the three and nine months ended September 30, 2018, respectively. There was no impairment loss in relation to costs capitalized. The capitalized costs will be amortized on a straight line basis over the life of contract.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fulfillment costs</w:t>
      </w:r>
    </w:p>
    <w:p>
      <w:pPr>
        <w:spacing w:after="0" w:line="22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had deferred contract fulfillment costs relating to transition activities amounting to $6,337 as of September 30, 2019 and $4,051 as of December 31, 2018. Further, the Company capitalized an additional $1,140 and $3,307 during the three and nine months ended September 30, 2019, respectively. The Company amortized $411 and $1,021 during the three and nine months ended September 30, 2019, respectively, and $335 and $730 during the three and nine months ended September 30, 2018, respectively. There was no impairment loss in relation to costs capitalized. The capitalized costs will be amortized on a straight line basis over the life of contract.</w:t>
      </w:r>
    </w:p>
    <w:p>
      <w:pPr>
        <w:spacing w:after="0" w:line="1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Consideration received from customers, if any, relating to such transition activities are classified under Contract Liabilities and are recognized over the period in which the related performance obligations are fulfilled.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Earnings Per Share</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Basic earnings per share is computed by dividing net income attributable to common stockholders by the weighted average number of common shares outstanding during each period. Diluted earnings per share is computed using the weighted average number of common shares plus the potentially dilutive effect of common stock equivalents (outstanding stock options, restricted stock and restricted stock units) issued and outstanding at the reporting date, using the treasury stock method. Common stock equivalents that are anti-dilutive are excluded from the computation of weighted average shares outstanding.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0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2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Numerators: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19,044</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15,249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46,303</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52,869</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Denominators: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2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34,322,449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34,458,520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34,382,787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34,472,232</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Dilutive effect of share based awards</w:t>
            </w:r>
          </w:p>
        </w:tc>
        <w:tc>
          <w:tcPr>
            <w:tcW w:w="2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377,048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749,471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362,181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745,582</w:t>
            </w:r>
          </w:p>
        </w:tc>
      </w:tr>
      <w:tr>
        <w:trPr>
          <w:trHeight w:val="237"/>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34,699,497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35,207,991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34,744,968</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35,217,814</w:t>
            </w:r>
          </w:p>
        </w:tc>
      </w:tr>
      <w:tr>
        <w:trPr>
          <w:trHeight w:val="67"/>
        </w:trPr>
        <w:tc>
          <w:tcPr>
            <w:tcW w:w="52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r>
      <w:tr>
        <w:trPr>
          <w:trHeight w:val="178"/>
        </w:trPr>
        <w:tc>
          <w:tcPr>
            <w:tcW w:w="5240" w:type="dxa"/>
            <w:vAlign w:val="bottom"/>
            <w:shd w:val="clear" w:color="auto" w:fill="CCEEFF"/>
          </w:tcPr>
          <w:p>
            <w:pPr>
              <w:ind w:left="40"/>
              <w:spacing w:after="0" w:line="178" w:lineRule="exact"/>
              <w:rPr>
                <w:sz w:val="20"/>
                <w:szCs w:val="20"/>
                <w:color w:val="auto"/>
              </w:rPr>
            </w:pPr>
            <w:r>
              <w:rPr>
                <w:rFonts w:ascii="Times New Roman" w:cs="Times New Roman" w:eastAsia="Times New Roman" w:hAnsi="Times New Roman"/>
                <w:sz w:val="18"/>
                <w:szCs w:val="18"/>
                <w:color w:val="auto"/>
              </w:rPr>
              <w:t>Earnings per share attributable to ExlService Holdings Inc.</w:t>
            </w: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41"/>
        </w:trPr>
        <w:tc>
          <w:tcPr>
            <w:tcW w:w="5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w:t>
            </w:r>
          </w:p>
        </w:tc>
        <w:tc>
          <w:tcPr>
            <w:tcW w:w="2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0.44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r>
      <w:tr>
        <w:trPr>
          <w:trHeight w:val="27"/>
        </w:trPr>
        <w:tc>
          <w:tcPr>
            <w:tcW w:w="5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r>
      <w:tr>
        <w:trPr>
          <w:trHeight w:val="225"/>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potentially dilutive shares considered anti-dilutive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4"/>
        </w:trPr>
        <w:tc>
          <w:tcPr>
            <w:tcW w:w="5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not included in computing diluted earnings per share</w:t>
            </w:r>
          </w:p>
        </w:tc>
        <w:tc>
          <w:tcPr>
            <w:tcW w:w="22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141,834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161,792</w:t>
            </w: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Cash, Cash Equivalents and Restricted Cash</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purpose of unaudited statements of cash flows, cash, cash equivalents and restricted cash comprise of the following:</w:t>
      </w:r>
    </w:p>
    <w:p>
      <w:pPr>
        <w:spacing w:after="0" w:line="35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8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Pr>
          <w:p>
            <w:pPr>
              <w:spacing w:after="0"/>
              <w:rPr>
                <w:sz w:val="22"/>
                <w:szCs w:val="22"/>
                <w:color w:val="auto"/>
              </w:rPr>
            </w:pPr>
          </w:p>
        </w:tc>
        <w:tc>
          <w:tcPr>
            <w:tcW w:w="15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9"/>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101,432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97,636</w:t>
            </w:r>
          </w:p>
        </w:tc>
      </w:tr>
      <w:tr>
        <w:trPr>
          <w:trHeight w:val="24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40" w:type="dxa"/>
            <w:vAlign w:val="bottom"/>
          </w:tcPr>
          <w:p>
            <w:pPr>
              <w:spacing w:after="0"/>
              <w:rPr>
                <w:sz w:val="21"/>
                <w:szCs w:val="21"/>
                <w:color w:val="auto"/>
              </w:rPr>
            </w:pPr>
          </w:p>
        </w:tc>
        <w:tc>
          <w:tcPr>
            <w:tcW w:w="16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5,412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4,679</w:t>
            </w:r>
          </w:p>
        </w:tc>
      </w:tr>
      <w:tr>
        <w:trPr>
          <w:trHeight w:val="27"/>
        </w:trPr>
        <w:tc>
          <w:tcPr>
            <w:tcW w:w="7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2,441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3,499</w:t>
            </w:r>
          </w:p>
        </w:tc>
      </w:tr>
      <w:tr>
        <w:trPr>
          <w:trHeight w:val="237"/>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109,285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105,814</w:t>
            </w:r>
          </w:p>
        </w:tc>
      </w:tr>
      <w:tr>
        <w:trPr>
          <w:trHeight w:val="27"/>
        </w:trPr>
        <w:tc>
          <w:tcPr>
            <w:tcW w:w="74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4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Income, net</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income, net consists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0" w:type="dxa"/>
            <w:vAlign w:val="bottom"/>
          </w:tcPr>
          <w:p>
            <w:pPr>
              <w:spacing w:after="0"/>
              <w:rPr>
                <w:sz w:val="16"/>
                <w:szCs w:val="16"/>
                <w:color w:val="auto"/>
              </w:rPr>
            </w:pPr>
          </w:p>
        </w:tc>
        <w:tc>
          <w:tcPr>
            <w:tcW w:w="2240" w:type="dxa"/>
            <w:vAlign w:val="bottom"/>
            <w:gridSpan w:val="4"/>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62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0" w:type="dxa"/>
            <w:vAlign w:val="bottom"/>
          </w:tcPr>
          <w:p>
            <w:pPr>
              <w:spacing w:after="0"/>
              <w:rPr>
                <w:sz w:val="1"/>
                <w:szCs w:val="1"/>
                <w:color w:val="auto"/>
              </w:rPr>
            </w:pPr>
          </w:p>
        </w:tc>
      </w:tr>
      <w:tr>
        <w:trPr>
          <w:trHeight w:val="249"/>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3,216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2,180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10,060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7,007</w:t>
            </w:r>
          </w:p>
        </w:tc>
        <w:tc>
          <w:tcPr>
            <w:tcW w:w="0" w:type="dxa"/>
            <w:vAlign w:val="bottom"/>
          </w:tcPr>
          <w:p>
            <w:pPr>
              <w:spacing w:after="0"/>
              <w:rPr>
                <w:sz w:val="1"/>
                <w:szCs w:val="1"/>
                <w:color w:val="auto"/>
              </w:rPr>
            </w:pPr>
          </w:p>
        </w:tc>
      </w:tr>
      <w:tr>
        <w:trPr>
          <w:trHeight w:val="243"/>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1,982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1,160</w:t>
            </w: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Others, net</w:t>
            </w:r>
          </w:p>
        </w:tc>
        <w:tc>
          <w:tcPr>
            <w:tcW w:w="19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858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57"/>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19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13,088</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8,232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900" w:type="dxa"/>
            <w:vAlign w:val="bottom"/>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and Equipment, net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net consists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useful lives</w:t>
            </w: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20" w:type="dxa"/>
            <w:vAlign w:val="bottom"/>
          </w:tcPr>
          <w:p>
            <w:pPr>
              <w:spacing w:after="0"/>
              <w:rPr>
                <w:sz w:val="22"/>
                <w:szCs w:val="22"/>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220" w:type="dxa"/>
            <w:vAlign w:val="bottom"/>
          </w:tcPr>
          <w:p>
            <w:pPr>
              <w:spacing w:after="0"/>
              <w:rPr>
                <w:sz w:val="22"/>
                <w:szCs w:val="22"/>
                <w:color w:val="auto"/>
              </w:rPr>
            </w:pPr>
          </w:p>
        </w:tc>
        <w:tc>
          <w:tcPr>
            <w:tcW w:w="160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Owned Assets:</w:t>
            </w:r>
          </w:p>
        </w:tc>
        <w:tc>
          <w:tcPr>
            <w:tcW w:w="1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Network equipment and computers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93,727</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85,921</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Software</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77,017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69,752</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44,355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39,533</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21,856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20,097</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Motor vehicles</w:t>
            </w: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602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635</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Buildings</w:t>
            </w:r>
          </w:p>
        </w:tc>
        <w:tc>
          <w:tcPr>
            <w:tcW w:w="1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1,140</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Land</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746</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work in progress</w:t>
            </w: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11,542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11,026</w:t>
            </w:r>
          </w:p>
        </w:tc>
      </w:tr>
      <w:tr>
        <w:trPr>
          <w:trHeight w:val="237"/>
        </w:trPr>
        <w:tc>
          <w:tcPr>
            <w:tcW w:w="5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250,955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228,850</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(173,127)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(155,798)</w:t>
            </w:r>
          </w:p>
        </w:tc>
      </w:tr>
      <w:tr>
        <w:trPr>
          <w:trHeight w:val="237"/>
        </w:trPr>
        <w:tc>
          <w:tcPr>
            <w:tcW w:w="56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77,828</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73,052</w:t>
            </w:r>
          </w:p>
        </w:tc>
      </w:tr>
      <w:tr>
        <w:trPr>
          <w:trHeight w:val="27"/>
        </w:trPr>
        <w:tc>
          <w:tcPr>
            <w:tcW w:w="56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Right-of-use assets under finance leases:</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778</w:t>
            </w:r>
          </w:p>
        </w:tc>
      </w:tr>
      <w:tr>
        <w:trPr>
          <w:trHeight w:val="27"/>
        </w:trPr>
        <w:tc>
          <w:tcPr>
            <w:tcW w:w="56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Motor vehicles</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628</w:t>
            </w:r>
          </w:p>
        </w:tc>
      </w:tr>
      <w:tr>
        <w:trPr>
          <w:trHeight w:val="27"/>
        </w:trPr>
        <w:tc>
          <w:tcPr>
            <w:tcW w:w="56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1,459</w:t>
            </w:r>
          </w:p>
        </w:tc>
      </w:tr>
      <w:tr>
        <w:trPr>
          <w:trHeight w:val="243"/>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7"/>
        </w:trPr>
        <w:tc>
          <w:tcPr>
            <w:tcW w:w="56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643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458</w:t>
            </w:r>
          </w:p>
        </w:tc>
      </w:tr>
      <w:tr>
        <w:trPr>
          <w:trHeight w:val="257"/>
        </w:trPr>
        <w:tc>
          <w:tcPr>
            <w:tcW w:w="5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78,471</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73,510</w:t>
            </w:r>
          </w:p>
        </w:tc>
      </w:tr>
      <w:tr>
        <w:trPr>
          <w:trHeight w:val="20"/>
        </w:trPr>
        <w:tc>
          <w:tcPr>
            <w:tcW w:w="56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Capital work in progress represents advances paid towards acquisition of property and equipment and costs incurred to develop software not yet ready to be placed in service.</w:t>
      </w:r>
    </w:p>
    <w:p>
      <w:pPr>
        <w:spacing w:after="0" w:line="16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depreciation and amortization, excluding amortization of acquisition-related intangibles, recognized in the unaudited consolidated statements of income was as follows: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2580" w:type="dxa"/>
            <w:vAlign w:val="bottom"/>
            <w:gridSpan w:val="4"/>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62"/>
        </w:trPr>
        <w:tc>
          <w:tcPr>
            <w:tcW w:w="56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60" w:type="dxa"/>
            <w:vAlign w:val="bottom"/>
            <w:tcBorders>
              <w:bottom w:val="single" w:sz="8" w:color="auto"/>
            </w:tcBorders>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8"/>
              </w:rPr>
              <w:t>7,545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7,381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22,882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20,759</w:t>
            </w: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depreciation and amortization set forth above includes the effect of foreign exchange gain/(loss) upon settlement of cash flow hedges, amounting to $54 and ($33) for the three months ended and $167 and $160 for the nine months ended September 30, 2019 and 2018, respectively. Refer Note 17 to the unaudited consolidated financial statements for further details.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Internally developed software costs, included under Software,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840" w:type="dxa"/>
            <w:vAlign w:val="bottom"/>
            <w:tcBorders>
              <w:bottom w:val="single" w:sz="8" w:color="auto"/>
            </w:tcBorders>
          </w:tcPr>
          <w:p>
            <w:pPr>
              <w:spacing w:after="0"/>
              <w:rPr>
                <w:sz w:val="16"/>
                <w:szCs w:val="16"/>
                <w:color w:val="auto"/>
              </w:rPr>
            </w:pPr>
          </w:p>
        </w:tc>
      </w:tr>
      <w:tr>
        <w:trPr>
          <w:trHeight w:val="264"/>
        </w:trPr>
        <w:tc>
          <w:tcPr>
            <w:tcW w:w="69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300" w:type="dxa"/>
            <w:vAlign w:val="bottom"/>
          </w:tcPr>
          <w:p>
            <w:pPr>
              <w:spacing w:after="0"/>
              <w:rPr>
                <w:sz w:val="22"/>
                <w:szCs w:val="22"/>
                <w:color w:val="auto"/>
              </w:rPr>
            </w:pPr>
          </w:p>
        </w:tc>
        <w:tc>
          <w:tcPr>
            <w:tcW w:w="184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14,212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8,783</w:t>
            </w:r>
          </w:p>
        </w:tc>
      </w:tr>
      <w:tr>
        <w:trPr>
          <w:trHeight w:val="243"/>
        </w:trPr>
        <w:tc>
          <w:tcPr>
            <w:tcW w:w="6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3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(2,393)</w:t>
            </w:r>
          </w:p>
        </w:tc>
      </w:tr>
      <w:tr>
        <w:trPr>
          <w:trHeight w:val="27"/>
        </w:trPr>
        <w:tc>
          <w:tcPr>
            <w:tcW w:w="6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6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Internally developed software, net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10,016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6,390</w:t>
            </w: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amortization expense on internally developed software recognized in the unaudited consolidated statements of income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48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2018</w:t>
            </w:r>
          </w:p>
        </w:tc>
        <w:tc>
          <w:tcPr>
            <w:tcW w:w="3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2"/>
        </w:trPr>
        <w:tc>
          <w:tcPr>
            <w:tcW w:w="5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1000" w:type="dxa"/>
            <w:vAlign w:val="bottom"/>
            <w:shd w:val="clear" w:color="auto" w:fill="CCEEFF"/>
          </w:tcPr>
          <w:p>
            <w:pPr>
              <w:jc w:val="right"/>
              <w:ind w:right="80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502</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1,952</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974</w:t>
            </w:r>
          </w:p>
        </w:tc>
      </w:tr>
      <w:tr>
        <w:trPr>
          <w:trHeight w:val="27"/>
        </w:trPr>
        <w:tc>
          <w:tcPr>
            <w:tcW w:w="5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performed an impairment test of its long-lived assets of its Health Integrated business. Based on the results, the long-lived assets carrying value exceeded their fair value. The primary factor contributing to a reduction in the fair value is the commencement of the wind down of the Health Integrated business, and an anticipated reduction to the Company's estimated future cash flows. As a result of this analysis, the Company recognized impairment charges of $nil and $2,178 during the three and nine months ended September 30, 2019, respectively, to write down the carrying value of property and equipment to its fair value. This impairment charge was recorded in the unaudited consolidated statements of income under "Impairment and restructuring charges". Refer Note 24 to the unaudited consolidated financial statements for further details.</w:t>
      </w:r>
    </w:p>
    <w:p>
      <w:pPr>
        <w:spacing w:after="0" w:line="400" w:lineRule="exact"/>
        <w:rPr>
          <w:sz w:val="20"/>
          <w:szCs w:val="20"/>
          <w:color w:val="auto"/>
        </w:rPr>
      </w:pPr>
    </w:p>
    <w:p>
      <w:pPr>
        <w:ind w:right="6960" w:firstLine="8"/>
        <w:spacing w:after="0" w:line="636" w:lineRule="auto"/>
        <w:tabs>
          <w:tab w:leader="none" w:pos="1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 Goodwill and Intangible Assets SCIOinspire Holdings Inc.</w:t>
      </w:r>
    </w:p>
    <w:p>
      <w:pPr>
        <w:spacing w:after="0" w:line="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July 1, 2018, the Company, through its wholly owned subsidiary ExlService.com, LLC (“Buyer”) and Buyer’s wholly owned subsidiary, ExlService Cayman Merger Sub, completed the acquisition of SCIO pursuant to an Agreement of Merger dated April 28, 2018 (the "Merger Agreement"). ExlService Cayman Merger Sub, merged with and into SCIO, with SCIO surviving the merger as a wholly-owned subsidiary of the Buyer.</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SCIO is a health analytics solution and services company serving healthcare organizations including providers, health plans, pharmacy benefit managers, employers, health services and global life sciences companies. The acquisition is expected to significantly strengthen the Company’s capability in the high growth cost optimization and care optimization markets. The acquisition of SCIO is included in the Analytics reportable segment.</w:t>
      </w:r>
    </w:p>
    <w:p>
      <w:pPr>
        <w:spacing w:after="0" w:line="1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aggregate purchase consideration was $245,044, including cash and cash equivalents acquired and post-closing adjustments. The aggregate base purchase consideration payable at closing of the merger was $236,500 based on completion of diligence, which was adjusted based on, among other things, SCIO’s cash, debt, working capital position and other adjustments as of the Closing as set forth in the Merger Agreement. To finance the acquisition at Closing, the Company utilized its revolving Credit Facility in the amount of $233,000, issued 69,459 shares of restricted common stock of the Company in the amount of $4,080 and paid the balance with available cash on hand.</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Pursuant to the Company’s business combinations accounting policy, the total purchase consideration for SCIO was allocated to identifiable net tangible and intangible assets based upon their preliminary fair values. The excess of the purchase consideration over fair value of identifiable net tangible and intangible assets was recorded as goodwill. In order to allocate the consideration transferred for SCIO, the fair values of all identifiable assets and liabilities were established. For accounting and financial reporting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purposes, fair value is defined under ASC No. 820, </w:t>
      </w:r>
      <w:r>
        <w:rPr>
          <w:rFonts w:ascii="Times New Roman" w:cs="Times New Roman" w:eastAsia="Times New Roman" w:hAnsi="Times New Roman"/>
          <w:sz w:val="18"/>
          <w:szCs w:val="18"/>
          <w:i w:val="1"/>
          <w:iCs w:val="1"/>
          <w:color w:val="auto"/>
        </w:rPr>
        <w:t>Fair Value Measurement and Disclosure</w:t>
      </w:r>
      <w:r>
        <w:rPr>
          <w:rFonts w:ascii="Times New Roman" w:cs="Times New Roman" w:eastAsia="Times New Roman" w:hAnsi="Times New Roman"/>
          <w:sz w:val="18"/>
          <w:szCs w:val="18"/>
          <w:color w:val="auto"/>
        </w:rPr>
        <w:t>, as the price that would be received upon sale of an asset or the amount paid to transfer a liability in an orderly transaction between market participants at the measurement date. Market participants are assumed to be buyers and sellers in the principal (most advantageous) market for the asset or liability. Additionally, fair value measurements for an asset assume the highest and best use of that asset by market participants. Use of different estimates and judgments could yield different results.</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purchase price allocation to net tangible and intangible assets of SCIO is as follows:</w:t>
      </w:r>
    </w:p>
    <w:p>
      <w:pPr>
        <w:spacing w:after="0" w:line="383"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9,842</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2,790</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19,924</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2,076</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1,824</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1,751</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Customer relationships</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47,800</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21,400</w:t>
            </w:r>
          </w:p>
        </w:tc>
      </w:tr>
      <w:tr>
        <w:trPr>
          <w:trHeight w:val="243"/>
        </w:trPr>
        <w:tc>
          <w:tcPr>
            <w:tcW w:w="9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5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3,700</w:t>
            </w:r>
          </w:p>
        </w:tc>
      </w:tr>
      <w:tr>
        <w:trPr>
          <w:trHeight w:val="27"/>
        </w:trPr>
        <w:tc>
          <w:tcPr>
            <w:tcW w:w="95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95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111,107</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5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(12,482)</w:t>
            </w: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 net</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(17,132)</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37"/>
        </w:trPr>
        <w:tc>
          <w:tcPr>
            <w:tcW w:w="954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(29,814)</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97"/>
        </w:trPr>
        <w:tc>
          <w:tcPr>
            <w:tcW w:w="95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81,293</w:t>
            </w:r>
          </w:p>
        </w:tc>
      </w:tr>
      <w:tr>
        <w:trPr>
          <w:trHeight w:val="27"/>
        </w:trPr>
        <w:tc>
          <w:tcPr>
            <w:tcW w:w="95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r>
      <w:tr>
        <w:trPr>
          <w:trHeight w:val="257"/>
        </w:trPr>
        <w:tc>
          <w:tcPr>
            <w:tcW w:w="9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purchase consideration</w:t>
            </w: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245,044</w:t>
            </w:r>
          </w:p>
        </w:tc>
      </w:tr>
      <w:tr>
        <w:trPr>
          <w:trHeight w:val="20"/>
        </w:trPr>
        <w:tc>
          <w:tcPr>
            <w:tcW w:w="95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fair values of the trade names and trademarks intangible assets were determined by using an “income approach”, specifically the relief-from-royalty approach. The basic principle of the relief-from-royalty method is that without ownership of the subject intangible asset, the user of that intangible asset would have to make a stream of payments to the owner of the asset in return for the rights to use that asset. By acquiring the intangible asset, the user avoids these payments. Therefore, a portion of SCIO’s earnings, equal to the after-tax royalty that would have been paid for the use of the asset, can be attributed to the firm’s ownership. The trade names and trademarks are being amortized on a straight-line basis (which approximates the economic pattern of benefits) over the estimated economic life of 3 years.</w:t>
      </w:r>
    </w:p>
    <w:p>
      <w:pPr>
        <w:spacing w:after="0" w:line="188"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fair values of the developed technology intangible assets were also determined by the relief-from-royalty approach. Similarly, this approach is based on the assumption that in lieu of ownership, a firm would be willing to pay a royalty in order to exploit the related benefits of the technology. Therefore, a portion of SCIO’s earnings, equal to the after-tax royalty that would have been paid for the use of the technology, can be attributed to the firm’s ownership of the technology. The technology assets are being amortized on a straight-line basis (which approximates the economic pattern of benefits) over the estimated economic life of 5 years.</w:t>
      </w:r>
    </w:p>
    <w:p>
      <w:pPr>
        <w:spacing w:after="0" w:line="18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values of the customer relationships were determined by using an “income approach”, specifically the Multi-Period Excess Earnings Method ("MPEEM"). The MPEEM is a specific application of the discounted cash flow method. The principle behind the MPEEM is that the value of an intangible asset is equal to the present value of the incremental after-tax cash flows attributable only to the subject intangible asset after deducting Contributory Asset Charges ("CAC"). The principle behind a CAC</w:t>
      </w:r>
    </w:p>
    <w:p>
      <w:pPr>
        <w:sectPr>
          <w:pgSz w:w="11900" w:h="16838" w:orient="portrait"/>
          <w:cols w:equalWidth="0" w:num="1">
            <w:col w:w="11420"/>
          </w:cols>
          <w:pgMar w:left="240" w:top="117"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type w:val="continuous"/>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is that an intangible asset ‘rents’ or ‘leases’ from a hypothetical third party all the assets it requires to produce the cash flows resulting from its development, that each project rents only those assets it needs (including elements of goodwill) and not the ones that it does not need, and that each project pays the owner of the assets a fair return on (and of, when appropriate) the value of the rented assets. The customer relationship assets are being amortized on a straight-line basis (which approximates the economic pattern of benefits) over the estimated economic life of 10 years.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goodwill recognized is attributable primarily to expected synergies from continuing operations of SCIO and the Company. The amount of goodwill recognized from SCIO's acquisition is not deductible for tax purposes. The goodwill has been assigned to our Analytics reportable segment based upon the Company’s assessment of nature of services rendered by SCIO.</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details of changes in goodwill by reportable segment of the Company:</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180" w:type="dxa"/>
            <w:vAlign w:val="bottom"/>
          </w:tcPr>
          <w:p>
            <w:pPr>
              <w:spacing w:after="0"/>
              <w:rPr>
                <w:sz w:val="20"/>
                <w:szCs w:val="20"/>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Healthcare</w:t>
            </w:r>
          </w:p>
        </w:tc>
        <w:tc>
          <w:tcPr>
            <w:tcW w:w="220" w:type="dxa"/>
            <w:vAlign w:val="bottom"/>
          </w:tcPr>
          <w:p>
            <w:pPr>
              <w:spacing w:after="0"/>
              <w:rPr>
                <w:sz w:val="20"/>
                <w:szCs w:val="20"/>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TT&amp;L</w:t>
            </w:r>
          </w:p>
        </w:tc>
        <w:tc>
          <w:tcPr>
            <w:tcW w:w="260" w:type="dxa"/>
            <w:vAlign w:val="bottom"/>
          </w:tcPr>
          <w:p>
            <w:pPr>
              <w:spacing w:after="0"/>
              <w:rPr>
                <w:sz w:val="20"/>
                <w:szCs w:val="20"/>
                <w:color w:val="auto"/>
              </w:rPr>
            </w:pPr>
          </w:p>
        </w:tc>
        <w:tc>
          <w:tcPr>
            <w:tcW w:w="9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F&amp;A</w:t>
            </w:r>
          </w:p>
        </w:tc>
        <w:tc>
          <w:tcPr>
            <w:tcW w:w="16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60" w:type="dxa"/>
            <w:vAlign w:val="bottom"/>
          </w:tcPr>
          <w:p>
            <w:pPr>
              <w:spacing w:after="0"/>
              <w:rPr>
                <w:sz w:val="20"/>
                <w:szCs w:val="20"/>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Analytics</w:t>
            </w:r>
          </w:p>
        </w:tc>
        <w:tc>
          <w:tcPr>
            <w:tcW w:w="22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January 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38,333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63,538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204,481</w:t>
            </w:r>
          </w:p>
        </w:tc>
      </w:tr>
      <w:tr>
        <w:trPr>
          <w:trHeight w:val="243"/>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Acquisitions</w:t>
            </w:r>
          </w:p>
        </w:tc>
        <w:tc>
          <w:tcPr>
            <w:tcW w:w="1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163,751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Measurement period</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41"/>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5"/>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4"/>
        </w:trPr>
        <w:tc>
          <w:tcPr>
            <w:tcW w:w="2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(2,291)</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(14,229)</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December 31, 2018</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38,203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12,697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47,193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349,984</w:t>
            </w:r>
          </w:p>
        </w:tc>
      </w:tr>
      <w:tr>
        <w:trPr>
          <w:trHeight w:val="27"/>
        </w:trPr>
        <w:tc>
          <w:tcPr>
            <w:tcW w:w="2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25"/>
        </w:trPr>
        <w:tc>
          <w:tcPr>
            <w:tcW w:w="27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Currency translation</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61"/>
        </w:trPr>
        <w:tc>
          <w:tcPr>
            <w:tcW w:w="2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w:t>
            </w:r>
          </w:p>
        </w:tc>
        <w:tc>
          <w:tcPr>
            <w:tcW w:w="16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r>
      <w:tr>
        <w:trPr>
          <w:trHeight w:val="237"/>
        </w:trPr>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September 30, 2019</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38,112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19,276</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12,532</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46,995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227,289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349,530</w:t>
            </w:r>
          </w:p>
        </w:tc>
      </w:tr>
      <w:tr>
        <w:trPr>
          <w:trHeight w:val="27"/>
        </w:trPr>
        <w:tc>
          <w:tcPr>
            <w:tcW w:w="2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2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fourth quarter of 2018, the Company performed its annual impairment test of goodwill for all its reporting units. Based on the results, the fair values of each of the Company’s reporting units exceeded their carrying values except for the Health Integrated reporting unit, within the Healthcare operating segment. The primary factors contributing to a reduction in the fair value of the Health Integrated reporting unit were: (i) revenues and profitability in 2018 were significantly lower than the Company’s budget; and (ii) significant changes to the Company's estimated future cash flows and long-term growth assumptions for the Health Integrated reporting unit driven by loss of customer contracts, cost pressures and the Company’s most recent views of the long-term outlook for the Health Integrated business. As a result of this analysis, the Company recognized a goodwill impairment charge of $14,229 during the fourth quarter to write down the carrying value of Health Integrated’s goodwill to its fair value of $nil as of December 31, 2018. This impairment charge was recorded in the consolidated statements of income under "Impairment and restructuring charges".</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As of September 30, 2019, the Company believes no other goodwill impairment exists, apart from the impairment charges discussed above, and that the remaining goodwill is recoverable for all of its reporting units; however, there can be no assurances that additional goodwill will not be impaired in future periods. Estimating the fair value of reporting units requires the use of estimates and significant judgments that are based on a number of factors including actual operating results. It is reasonably possible that the judgments and estimates described above could change in future periods.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17" w:right="23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Information regarding the Company’s intangible assets is set forth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55"/>
              <w:spacing w:after="0" w:line="149" w:lineRule="exact"/>
              <w:rPr>
                <w:sz w:val="20"/>
                <w:szCs w:val="20"/>
                <w:color w:val="auto"/>
              </w:rPr>
            </w:pPr>
            <w:r>
              <w:rPr>
                <w:rFonts w:ascii="Times New Roman" w:cs="Times New Roman" w:eastAsia="Times New Roman" w:hAnsi="Times New Roman"/>
                <w:sz w:val="14"/>
                <w:szCs w:val="14"/>
                <w:b w:val="1"/>
                <w:bCs w:val="1"/>
                <w:color w:val="auto"/>
              </w:rPr>
              <w:t>Gross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260" w:type="dxa"/>
            <w:vAlign w:val="bottom"/>
            <w:tcBorders>
              <w:bottom w:val="single" w:sz="8" w:color="CCEEFF"/>
            </w:tcBorders>
          </w:tcPr>
          <w:p>
            <w:pPr>
              <w:spacing w:after="0"/>
              <w:rPr>
                <w:sz w:val="16"/>
                <w:szCs w:val="16"/>
                <w:color w:val="auto"/>
              </w:rPr>
            </w:pPr>
          </w:p>
        </w:tc>
        <w:tc>
          <w:tcPr>
            <w:tcW w:w="448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119,282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(61,778)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57,504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35,555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17,566</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5,480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2,875</w:t>
            </w: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160,317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77,945</w:t>
            </w:r>
          </w:p>
        </w:tc>
        <w:tc>
          <w:tcPr>
            <w:tcW w:w="0" w:type="dxa"/>
            <w:vAlign w:val="bottom"/>
          </w:tcPr>
          <w:p>
            <w:pPr>
              <w:spacing w:after="0"/>
              <w:rPr>
                <w:sz w:val="1"/>
                <w:szCs w:val="1"/>
                <w:color w:val="auto"/>
              </w:rPr>
            </w:pPr>
          </w:p>
        </w:tc>
      </w:tr>
      <w:tr>
        <w:trPr>
          <w:trHeight w:val="224"/>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4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4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7"/>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8"/>
                <w:szCs w:val="18"/>
                <w:color w:val="auto"/>
              </w:rPr>
              <w:t>161,217</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(82,372)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78,845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5"/>
        </w:trPr>
        <w:tc>
          <w:tcPr>
            <w:tcW w:w="2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 Amount</w:t>
            </w:r>
          </w:p>
        </w:tc>
        <w:tc>
          <w:tcPr>
            <w:tcW w:w="180" w:type="dxa"/>
            <w:vAlign w:val="bottom"/>
          </w:tcPr>
          <w:p>
            <w:pPr>
              <w:spacing w:after="0"/>
              <w:rPr>
                <w:sz w:val="12"/>
                <w:szCs w:val="12"/>
                <w:color w:val="auto"/>
              </w:rPr>
            </w:pPr>
          </w:p>
        </w:tc>
        <w:tc>
          <w:tcPr>
            <w:tcW w:w="9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95"/>
        </w:trPr>
        <w:tc>
          <w:tcPr>
            <w:tcW w:w="2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9"/>
        </w:trPr>
        <w:tc>
          <w:tcPr>
            <w:tcW w:w="474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Finite-lived intangible assets:</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129,790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(56,367)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67,874</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Leasehold benefits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37,154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(14,653)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22,501</w:t>
            </w:r>
          </w:p>
        </w:tc>
        <w:tc>
          <w:tcPr>
            <w:tcW w:w="0" w:type="dxa"/>
            <w:vAlign w:val="bottom"/>
          </w:tcPr>
          <w:p>
            <w:pPr>
              <w:spacing w:after="0"/>
              <w:rPr>
                <w:sz w:val="1"/>
                <w:szCs w:val="1"/>
                <w:color w:val="auto"/>
              </w:rPr>
            </w:pPr>
          </w:p>
        </w:tc>
      </w:tr>
      <w:tr>
        <w:trPr>
          <w:trHeight w:val="27"/>
        </w:trPr>
        <w:tc>
          <w:tcPr>
            <w:tcW w:w="2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Non-compete agreements</w:t>
            </w:r>
          </w:p>
        </w:tc>
        <w:tc>
          <w:tcPr>
            <w:tcW w:w="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43"/>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2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9,639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4,035</w:t>
            </w:r>
          </w:p>
        </w:tc>
        <w:tc>
          <w:tcPr>
            <w:tcW w:w="0" w:type="dxa"/>
            <w:vAlign w:val="bottom"/>
          </w:tcPr>
          <w:p>
            <w:pPr>
              <w:spacing w:after="0"/>
              <w:rPr>
                <w:sz w:val="1"/>
                <w:szCs w:val="1"/>
                <w:color w:val="auto"/>
              </w:rPr>
            </w:pPr>
          </w:p>
        </w:tc>
      </w:tr>
      <w:tr>
        <w:trPr>
          <w:trHeight w:val="27"/>
        </w:trPr>
        <w:tc>
          <w:tcPr>
            <w:tcW w:w="260" w:type="dxa"/>
            <w:vAlign w:val="bottom"/>
            <w:tcBorders>
              <w:bottom w:val="single" w:sz="8" w:color="CCEEFF"/>
            </w:tcBorders>
          </w:tcPr>
          <w:p>
            <w:pPr>
              <w:spacing w:after="0"/>
              <w:rPr>
                <w:sz w:val="2"/>
                <w:szCs w:val="2"/>
                <w:color w:val="auto"/>
              </w:rPr>
            </w:pPr>
          </w:p>
        </w:tc>
        <w:tc>
          <w:tcPr>
            <w:tcW w:w="44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Borders>
              <w:bottom w:val="single" w:sz="8" w:color="CCEEFF"/>
            </w:tcBorders>
            <w:shd w:val="clear" w:color="auto" w:fill="CCEEFF"/>
          </w:tcPr>
          <w:p>
            <w:pPr>
              <w:spacing w:after="0"/>
              <w:rPr>
                <w:sz w:val="21"/>
                <w:szCs w:val="21"/>
                <w:color w:val="auto"/>
              </w:rPr>
            </w:pPr>
          </w:p>
        </w:tc>
        <w:tc>
          <w:tcPr>
            <w:tcW w:w="44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CCEEFF"/>
            </w:tcBorders>
            <w:gridSpan w:val="4"/>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181,272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94,595</w:t>
            </w:r>
          </w:p>
        </w:tc>
        <w:tc>
          <w:tcPr>
            <w:tcW w:w="0" w:type="dxa"/>
            <w:vAlign w:val="bottom"/>
          </w:tcPr>
          <w:p>
            <w:pPr>
              <w:spacing w:after="0"/>
              <w:rPr>
                <w:sz w:val="1"/>
                <w:szCs w:val="1"/>
                <w:color w:val="auto"/>
              </w:rPr>
            </w:pPr>
          </w:p>
        </w:tc>
      </w:tr>
      <w:tr>
        <w:trPr>
          <w:trHeight w:val="224"/>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Indefinite-lived intangible assets: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60" w:type="dxa"/>
            <w:vAlign w:val="bottom"/>
          </w:tcPr>
          <w:p>
            <w:pPr>
              <w:spacing w:after="0"/>
              <w:rPr>
                <w:sz w:val="4"/>
                <w:szCs w:val="4"/>
                <w:color w:val="auto"/>
              </w:rPr>
            </w:pPr>
          </w:p>
        </w:tc>
        <w:tc>
          <w:tcPr>
            <w:tcW w:w="4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gridSpan w:val="2"/>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9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47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names and trademarks</w:t>
            </w:r>
          </w:p>
        </w:tc>
        <w:tc>
          <w:tcPr>
            <w:tcW w:w="3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900</w:t>
            </w:r>
          </w:p>
        </w:tc>
        <w:tc>
          <w:tcPr>
            <w:tcW w:w="0" w:type="dxa"/>
            <w:vAlign w:val="bottom"/>
          </w:tcPr>
          <w:p>
            <w:pPr>
              <w:spacing w:after="0"/>
              <w:rPr>
                <w:sz w:val="1"/>
                <w:szCs w:val="1"/>
                <w:color w:val="auto"/>
              </w:rPr>
            </w:pPr>
          </w:p>
        </w:tc>
      </w:tr>
      <w:tr>
        <w:trPr>
          <w:trHeight w:val="257"/>
        </w:trPr>
        <w:tc>
          <w:tcPr>
            <w:tcW w:w="47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3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top w:val="single" w:sz="8" w:color="auto"/>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182,172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(80,850)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(5,827)</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95,495</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The amortization expense for the period is as follows:</w:t>
            </w: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26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8"/>
        </w:trPr>
        <w:tc>
          <w:tcPr>
            <w:tcW w:w="2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7"/>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gridSpan w:val="7"/>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260" w:type="dxa"/>
            <w:vAlign w:val="bottom"/>
          </w:tcPr>
          <w:p>
            <w:pPr>
              <w:spacing w:after="0"/>
              <w:rPr>
                <w:sz w:val="22"/>
                <w:szCs w:val="22"/>
                <w:color w:val="auto"/>
              </w:rPr>
            </w:pPr>
          </w:p>
        </w:tc>
        <w:tc>
          <w:tcPr>
            <w:tcW w:w="44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2018</w:t>
            </w:r>
          </w:p>
        </w:tc>
        <w:tc>
          <w:tcPr>
            <w:tcW w:w="60" w:type="dxa"/>
            <w:vAlign w:val="bottom"/>
            <w:tcBorders>
              <w:top w:val="single" w:sz="8" w:color="auto"/>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260" w:type="dxa"/>
            <w:vAlign w:val="bottom"/>
          </w:tcPr>
          <w:p>
            <w:pPr>
              <w:spacing w:after="0"/>
              <w:rPr>
                <w:sz w:val="22"/>
                <w:szCs w:val="22"/>
                <w:color w:val="auto"/>
              </w:rPr>
            </w:pPr>
          </w:p>
        </w:tc>
        <w:tc>
          <w:tcPr>
            <w:tcW w:w="44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5,502</w:t>
            </w:r>
          </w:p>
        </w:tc>
        <w:tc>
          <w:tcPr>
            <w:tcW w:w="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6,718</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16,584</w:t>
            </w:r>
          </w:p>
        </w:tc>
        <w:tc>
          <w:tcPr>
            <w:tcW w:w="100" w:type="dxa"/>
            <w:vAlign w:val="bottom"/>
            <w:shd w:val="clear" w:color="auto" w:fill="CCEEFF"/>
          </w:tcPr>
          <w:p>
            <w:pPr>
              <w:spacing w:after="0"/>
              <w:rPr>
                <w:sz w:val="22"/>
                <w:szCs w:val="22"/>
                <w:color w:val="auto"/>
              </w:rPr>
            </w:pPr>
          </w:p>
        </w:tc>
        <w:tc>
          <w:tcPr>
            <w:tcW w:w="2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14,426</w:t>
            </w:r>
          </w:p>
        </w:tc>
        <w:tc>
          <w:tcPr>
            <w:tcW w:w="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During the fourth quarter of 2018, the Company recognized impairment charges of $5,549 and $278 related to its customer relationships and trademarks intangible assets, respectively, in the Health Integrated reporting unit, within the Healthcare operating segment. The Company tested these intangible assets for recoverability due to indicators warranting the impairment test such as: (i) revenues and profitability in 2018 were significantly lower than the Company’s budget, and (ii) significant changes to the Company's estimated future cash flows and long-term growth assumptions for the Health Integrated reporting unit driven by loss of customer contracts, cost pressures and the Company’s most recent views of the long-term outlook for the Health Integrated business. Based on the results of its testing, the Company determined that the carrying value of the intangible assets was not recoverable, and an impairment charge was recorded to the extent that carrying value exceeded estimated fair value. This impairment charge was recorded in the consolidated statements of income under "Impairment and restructuring charges". Subsequent to the impairment test, Health Integrated reporting unit’s customer relationships and trademarks intangibles assets were reduced to $nil as of December 31, 2018.</w:t>
      </w:r>
    </w:p>
    <w:p>
      <w:pPr>
        <w:sectPr>
          <w:pgSz w:w="11900" w:h="16838" w:orient="portrait"/>
          <w:cols w:equalWidth="0" w:num="1">
            <w:col w:w="11420"/>
          </w:cols>
          <w:pgMar w:left="240" w:top="117"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17" w:right="239" w:bottom="1440" w:gutter="0" w:footer="0" w:header="0"/>
          <w:type w:val="continuous"/>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remaining weighted average life of intangible assets is as follows:</w:t>
      </w:r>
    </w:p>
    <w:p>
      <w:pPr>
        <w:spacing w:after="0" w:line="275" w:lineRule="exact"/>
        <w:rPr>
          <w:sz w:val="20"/>
          <w:szCs w:val="20"/>
          <w:color w:val="auto"/>
        </w:rPr>
      </w:pPr>
    </w:p>
    <w:tbl>
      <w:tblPr>
        <w:tblLayout w:type="fixed"/>
        <w:tblInd w:w="70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 years)</w:t>
            </w:r>
          </w:p>
        </w:tc>
        <w:tc>
          <w:tcPr>
            <w:tcW w:w="2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20" w:type="dxa"/>
            <w:vAlign w:val="bottom"/>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8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 and trademarks (Finite lived)</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21"/>
                <w:szCs w:val="21"/>
                <w:color w:val="auto"/>
              </w:rPr>
            </w:pPr>
          </w:p>
        </w:tc>
      </w:tr>
      <w:tr>
        <w:trPr>
          <w:trHeight w:val="702"/>
        </w:trPr>
        <w:tc>
          <w:tcPr>
            <w:tcW w:w="2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Estimated future amortization expense related to intangible assets as of September 30, 2019 is as follows: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(October 1 - December 31)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14,422</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11,325</w:t>
            </w:r>
          </w:p>
        </w:tc>
        <w:tc>
          <w:tcPr>
            <w:tcW w:w="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87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8720" w:type="dxa"/>
            <w:vAlign w:val="bottom"/>
          </w:tcPr>
          <w:p>
            <w:pPr>
              <w:spacing w:after="0"/>
              <w:rPr>
                <w:sz w:val="20"/>
                <w:szCs w:val="20"/>
                <w:color w:val="auto"/>
              </w:rPr>
            </w:pPr>
            <w:r>
              <w:rPr>
                <w:rFonts w:ascii="Times New Roman" w:cs="Times New Roman" w:eastAsia="Times New Roman" w:hAnsi="Times New Roman"/>
                <w:sz w:val="18"/>
                <w:szCs w:val="18"/>
                <w:color w:val="auto"/>
              </w:rPr>
              <w:t>2024 and thereafter</w:t>
            </w:r>
          </w:p>
        </w:tc>
        <w:tc>
          <w:tcPr>
            <w:tcW w:w="3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25,468</w:t>
            </w:r>
          </w:p>
        </w:tc>
        <w:tc>
          <w:tcPr>
            <w:tcW w:w="20" w:type="dxa"/>
            <w:vAlign w:val="bottom"/>
          </w:tcPr>
          <w:p>
            <w:pPr>
              <w:spacing w:after="0"/>
              <w:rPr>
                <w:sz w:val="21"/>
                <w:szCs w:val="2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8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8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77,945</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Investment in Equity Affiliate</w:t>
      </w:r>
    </w:p>
    <w:p>
      <w:pPr>
        <w:spacing w:after="0" w:line="121"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December 12, 2017, the Company acquired preferred stock in Corridor Platform Inc. (“Corridor”), a big data credit risk management platform for $3,000. The Company has determined that based on its ownership interest and other rights, Corridor is an equity method affiliate. The Company has the right and option to acquire additional preferred stock from Corridor as per the terms of the agreement. The Company's proportionate share of net loss for the three and nine months ended September 30, 2019 was $69 and $198, and for the three and nine months ended September 30, 2018 was $62 and $176,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Current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current assets consist of the following:</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500" w:type="dxa"/>
            <w:vAlign w:val="bottom"/>
            <w:tcBorders>
              <w:bottom w:val="single" w:sz="8" w:color="auto"/>
            </w:tcBorders>
          </w:tcPr>
          <w:p>
            <w:pPr>
              <w:spacing w:after="0"/>
              <w:rPr>
                <w:sz w:val="16"/>
                <w:szCs w:val="16"/>
                <w:color w:val="auto"/>
              </w:rPr>
            </w:pPr>
          </w:p>
        </w:tc>
      </w:tr>
      <w:tr>
        <w:trPr>
          <w:trHeight w:val="264"/>
        </w:trPr>
        <w:tc>
          <w:tcPr>
            <w:tcW w:w="79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4,059</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Advances to suppliers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2,910</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Receivables from statutory authorities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14,145</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1,201</w:t>
            </w:r>
          </w:p>
        </w:tc>
      </w:tr>
      <w:tr>
        <w:trPr>
          <w:trHeight w:val="27"/>
        </w:trPr>
        <w:tc>
          <w:tcPr>
            <w:tcW w:w="7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4,689</w:t>
            </w:r>
          </w:p>
        </w:tc>
      </w:tr>
      <w:tr>
        <w:trPr>
          <w:trHeight w:val="27"/>
        </w:trPr>
        <w:tc>
          <w:tcPr>
            <w:tcW w:w="7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27,974</w:t>
            </w:r>
          </w:p>
        </w:tc>
        <w:tc>
          <w:tcPr>
            <w:tcW w:w="4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28,240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17"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Other Assets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assets consist of the following:</w:t>
      </w:r>
    </w:p>
    <w:p>
      <w:pPr>
        <w:spacing w:after="0" w:line="340" w:lineRule="exact"/>
        <w:rPr>
          <w:sz w:val="20"/>
          <w:szCs w:val="20"/>
          <w:color w:val="auto"/>
        </w:rPr>
      </w:pPr>
    </w:p>
    <w:tbl>
      <w:tblPr>
        <w:tblLayout w:type="fixed"/>
        <w:tblInd w:w="720" w:type="dxa"/>
        <w:tblCellMar>
          <w:top w:w="0" w:type="dxa"/>
          <w:left w:w="0" w:type="dxa"/>
          <w:bottom w:w="0" w:type="dxa"/>
          <w:right w:w="0" w:type="dxa"/>
        </w:tblCellMar>
      </w:tblPr>
      <w:tr>
        <w:trPr>
          <w:trHeight w:val="195"/>
        </w:trPr>
        <w:tc>
          <w:tcPr>
            <w:tcW w:w="67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60" w:type="dxa"/>
            <w:vAlign w:val="bottom"/>
            <w:tcBorders>
              <w:bottom w:val="single" w:sz="8" w:color="auto"/>
            </w:tcBorders>
          </w:tcPr>
          <w:p>
            <w:pPr>
              <w:spacing w:after="0"/>
              <w:rPr>
                <w:sz w:val="16"/>
                <w:szCs w:val="16"/>
                <w:color w:val="auto"/>
              </w:rPr>
            </w:pPr>
          </w:p>
        </w:tc>
      </w:tr>
      <w:tr>
        <w:trPr>
          <w:trHeight w:val="264"/>
        </w:trPr>
        <w:tc>
          <w:tcPr>
            <w:tcW w:w="6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520" w:type="dxa"/>
            <w:vAlign w:val="bottom"/>
          </w:tcPr>
          <w:p>
            <w:pPr>
              <w:spacing w:after="0"/>
              <w:rPr>
                <w:sz w:val="22"/>
                <w:szCs w:val="22"/>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deposits</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9,118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8,891</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1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1,971</w:t>
            </w: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Deposits with statutory authorities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6,264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6,259</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deposits</w:t>
            </w:r>
          </w:p>
        </w:tc>
        <w:tc>
          <w:tcPr>
            <w:tcW w:w="1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3,338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4,244</w:t>
            </w:r>
          </w:p>
        </w:tc>
      </w:tr>
      <w:tr>
        <w:trPr>
          <w:trHeight w:val="24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contract fulfillment costs</w:t>
            </w:r>
          </w:p>
        </w:tc>
        <w:tc>
          <w:tcPr>
            <w:tcW w:w="180" w:type="dxa"/>
            <w:vAlign w:val="bottom"/>
          </w:tcPr>
          <w:p>
            <w:pPr>
              <w:spacing w:after="0"/>
              <w:rPr>
                <w:sz w:val="21"/>
                <w:szCs w:val="21"/>
                <w:color w:val="auto"/>
              </w:rPr>
            </w:pPr>
          </w:p>
        </w:tc>
        <w:tc>
          <w:tcPr>
            <w:tcW w:w="13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5,173</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2,815</w:t>
            </w:r>
          </w:p>
        </w:tc>
      </w:tr>
      <w:tr>
        <w:trPr>
          <w:trHeight w:val="27"/>
        </w:trPr>
        <w:tc>
          <w:tcPr>
            <w:tcW w:w="6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1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5,914</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6,520</w:t>
            </w:r>
          </w:p>
        </w:tc>
      </w:tr>
      <w:tr>
        <w:trPr>
          <w:trHeight w:val="257"/>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32,967</w:t>
            </w:r>
          </w:p>
        </w:tc>
        <w:tc>
          <w:tcPr>
            <w:tcW w:w="120" w:type="dxa"/>
            <w:vAlign w:val="bottom"/>
          </w:tcPr>
          <w:p>
            <w:pPr>
              <w:spacing w:after="0"/>
              <w:rPr>
                <w:sz w:val="22"/>
                <w:szCs w:val="22"/>
                <w:color w:val="auto"/>
              </w:rPr>
            </w:pPr>
          </w:p>
        </w:tc>
        <w:tc>
          <w:tcPr>
            <w:tcW w:w="5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31,015</w:t>
            </w: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Accrued Expenses and Other Current Liabilities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442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0" w:type="dxa"/>
            <w:vAlign w:val="bottom"/>
          </w:tcPr>
          <w:p>
            <w:pPr>
              <w:spacing w:after="0"/>
              <w:rPr>
                <w:sz w:val="1"/>
                <w:szCs w:val="1"/>
                <w:color w:val="auto"/>
              </w:rPr>
            </w:pPr>
          </w:p>
        </w:tc>
      </w:tr>
      <w:tr>
        <w:trPr>
          <w:trHeight w:val="249"/>
        </w:trPr>
        <w:tc>
          <w:tcPr>
            <w:tcW w:w="520" w:type="dxa"/>
            <w:vAlign w:val="bottom"/>
            <w:tcBorders>
              <w:right w:val="single" w:sz="8" w:color="CCEEFF"/>
            </w:tcBorders>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7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50,276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44,711</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Derivative instruments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right w:val="single" w:sz="8" w:color="CCEEFF"/>
            </w:tcBorders>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Client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0" w:type="dxa"/>
            <w:vAlign w:val="bottom"/>
            <w:tcBorders>
              <w:right w:val="single" w:sz="8" w:color="CCEEFF"/>
            </w:tcBorders>
          </w:tcPr>
          <w:p>
            <w:pPr>
              <w:spacing w:after="0"/>
              <w:rPr>
                <w:sz w:val="21"/>
                <w:szCs w:val="21"/>
                <w:color w:val="auto"/>
              </w:rPr>
            </w:pPr>
          </w:p>
        </w:tc>
        <w:tc>
          <w:tcPr>
            <w:tcW w:w="4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69,876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64,169</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tcBorders>
              <w:right w:val="single" w:sz="8" w:color="CCEEFF"/>
            </w:tcBorders>
          </w:tcPr>
          <w:p>
            <w:pPr>
              <w:spacing w:after="0" w:line="20" w:lineRule="exact"/>
              <w:rPr>
                <w:sz w:val="1"/>
                <w:szCs w:val="1"/>
                <w:color w:val="auto"/>
              </w:rPr>
            </w:pPr>
          </w:p>
        </w:tc>
        <w:tc>
          <w:tcPr>
            <w:tcW w:w="442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14. Other Non-Current Liabilities</w:t>
            </w:r>
          </w:p>
        </w:tc>
        <w:tc>
          <w:tcPr>
            <w:tcW w:w="2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4940" w:type="dxa"/>
            <w:vAlign w:val="bottom"/>
            <w:gridSpan w:val="2"/>
            <w:vMerge w:val="continue"/>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94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5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0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20" w:type="dxa"/>
            <w:vAlign w:val="bottom"/>
          </w:tcPr>
          <w:p>
            <w:pPr>
              <w:spacing w:after="0"/>
              <w:rPr>
                <w:sz w:val="22"/>
                <w:szCs w:val="22"/>
                <w:color w:val="auto"/>
              </w:rPr>
            </w:pPr>
          </w:p>
        </w:tc>
        <w:tc>
          <w:tcPr>
            <w:tcW w:w="4420" w:type="dxa"/>
            <w:vAlign w:val="bottom"/>
            <w:tcBorders>
              <w:bottom w:val="single" w:sz="8" w:color="CCEEFF"/>
            </w:tcBorders>
          </w:tcPr>
          <w:p>
            <w:pPr>
              <w:spacing w:after="0"/>
              <w:rPr>
                <w:sz w:val="22"/>
                <w:szCs w:val="22"/>
                <w:color w:val="auto"/>
              </w:rPr>
            </w:pPr>
          </w:p>
        </w:tc>
        <w:tc>
          <w:tcPr>
            <w:tcW w:w="25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instruments</w:t>
            </w:r>
          </w:p>
        </w:tc>
        <w:tc>
          <w:tcPr>
            <w:tcW w:w="2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rent</w:t>
            </w: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righ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Retirement benefits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transition revenue</w:t>
            </w:r>
          </w:p>
        </w:tc>
        <w:tc>
          <w:tcPr>
            <w:tcW w:w="2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 w:type="dxa"/>
            <w:vAlign w:val="bottom"/>
          </w:tcPr>
          <w:p>
            <w:pPr>
              <w:spacing w:after="0"/>
              <w:rPr>
                <w:sz w:val="21"/>
                <w:szCs w:val="21"/>
                <w:color w:val="auto"/>
              </w:rPr>
            </w:pPr>
          </w:p>
        </w:tc>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Others</w:t>
            </w:r>
          </w:p>
        </w:tc>
        <w:tc>
          <w:tcPr>
            <w:tcW w:w="2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44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0" w:type="dxa"/>
            <w:vAlign w:val="bottom"/>
          </w:tcPr>
          <w:p>
            <w:pPr>
              <w:spacing w:after="0"/>
              <w:rPr>
                <w:sz w:val="22"/>
                <w:szCs w:val="22"/>
                <w:color w:val="auto"/>
              </w:rPr>
            </w:pPr>
          </w:p>
        </w:tc>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7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9,241</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16,521</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590"/>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240" w:top="117" w:right="51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Accumulated other comprehensive loss consists of amortization of actuarial gain/(loss) on retirement benefits and changes in the cumulative foreign currency translation adjustments. In addition, the Company enters into foreign currency exchange contracts, which are designated as cash flow hedges in accordance with ASC 815. Changes in the fair values of forward contracts are recognized in accumulated other comprehensive loss on the Company's unaudited consolidated balance sheets until the settlement of those contracts. The balances as of September 30, 2019 and December 31, 2018 are as follows:</w:t>
      </w:r>
    </w:p>
    <w:p>
      <w:pPr>
        <w:spacing w:after="0" w:line="200" w:lineRule="exact"/>
        <w:rPr>
          <w:sz w:val="20"/>
          <w:szCs w:val="20"/>
          <w:color w:val="auto"/>
        </w:rPr>
      </w:pPr>
    </w:p>
    <w:p>
      <w:pPr>
        <w:spacing w:after="0" w:line="203" w:lineRule="exact"/>
        <w:rPr>
          <w:sz w:val="20"/>
          <w:szCs w:val="20"/>
          <w:color w:val="auto"/>
        </w:rPr>
      </w:pPr>
    </w:p>
    <w:tbl>
      <w:tblPr>
        <w:tblLayout w:type="fixed"/>
        <w:tblInd w:w="112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440" w:type="dxa"/>
            <w:vAlign w:val="bottom"/>
            <w:tcBorders>
              <w:bottom w:val="single" w:sz="8" w:color="auto"/>
            </w:tcBorders>
          </w:tcPr>
          <w:p>
            <w:pPr>
              <w:spacing w:after="0"/>
              <w:rPr>
                <w:sz w:val="16"/>
                <w:szCs w:val="16"/>
                <w:color w:val="auto"/>
              </w:rPr>
            </w:pPr>
          </w:p>
        </w:tc>
      </w:tr>
      <w:tr>
        <w:trPr>
          <w:trHeight w:val="264"/>
        </w:trPr>
        <w:tc>
          <w:tcPr>
            <w:tcW w:w="6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160" w:type="dxa"/>
            <w:vAlign w:val="bottom"/>
          </w:tcPr>
          <w:p>
            <w:pPr>
              <w:spacing w:after="0"/>
              <w:rPr>
                <w:sz w:val="22"/>
                <w:szCs w:val="22"/>
                <w:color w:val="auto"/>
              </w:rPr>
            </w:pPr>
          </w:p>
        </w:tc>
        <w:tc>
          <w:tcPr>
            <w:tcW w:w="144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2018</w:t>
            </w:r>
          </w:p>
        </w:tc>
      </w:tr>
      <w:tr>
        <w:trPr>
          <w:trHeight w:val="249"/>
        </w:trPr>
        <w:tc>
          <w:tcPr>
            <w:tcW w:w="6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loss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(84,105)</w:t>
            </w:r>
          </w:p>
        </w:tc>
      </w:tr>
      <w:tr>
        <w:trPr>
          <w:trHeight w:val="243"/>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gain/(loss) on cash flow hedges, net of taxes of $133 and $115, respectively</w:t>
            </w:r>
          </w:p>
        </w:tc>
        <w:tc>
          <w:tcPr>
            <w:tcW w:w="140" w:type="dxa"/>
            <w:vAlign w:val="bottom"/>
          </w:tcPr>
          <w:p>
            <w:pPr>
              <w:spacing w:after="0"/>
              <w:rPr>
                <w:sz w:val="21"/>
                <w:szCs w:val="21"/>
                <w:color w:val="auto"/>
              </w:rPr>
            </w:pPr>
          </w:p>
        </w:tc>
        <w:tc>
          <w:tcPr>
            <w:tcW w:w="146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6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Retirement benefits, net of taxes of $46 and ($53), respectively</w:t>
            </w:r>
          </w:p>
        </w:tc>
        <w:tc>
          <w:tcPr>
            <w:tcW w:w="14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971</w:t>
            </w:r>
          </w:p>
        </w:tc>
      </w:tr>
      <w:tr>
        <w:trPr>
          <w:trHeight w:val="237"/>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(86,153)</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(83,467)</w:t>
            </w:r>
          </w:p>
        </w:tc>
      </w:tr>
      <w:tr>
        <w:trPr>
          <w:trHeight w:val="27"/>
        </w:trPr>
        <w:tc>
          <w:tcPr>
            <w:tcW w:w="65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6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Fair Value Measurements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the Company’s assets and liabilities that were accounted for at fair value as of September 30, 2019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w:t>
      </w:r>
    </w:p>
    <w:p>
      <w:pPr>
        <w:spacing w:after="0" w:line="32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200" w:type="dxa"/>
            <w:vAlign w:val="bottom"/>
          </w:tcPr>
          <w:p>
            <w:pPr>
              <w:spacing w:after="0"/>
              <w:rPr>
                <w:sz w:val="16"/>
                <w:szCs w:val="16"/>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 of September 30, 2019</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9"/>
        </w:trPr>
        <w:tc>
          <w:tcPr>
            <w:tcW w:w="200" w:type="dxa"/>
            <w:vAlign w:val="bottom"/>
          </w:tcPr>
          <w:p>
            <w:pPr>
              <w:spacing w:after="0"/>
              <w:rPr>
                <w:sz w:val="21"/>
                <w:szCs w:val="21"/>
                <w:color w:val="auto"/>
              </w:rPr>
            </w:pPr>
          </w:p>
        </w:tc>
        <w:tc>
          <w:tcPr>
            <w:tcW w:w="3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147,883</w:t>
            </w:r>
          </w:p>
        </w:tc>
        <w:tc>
          <w:tcPr>
            <w:tcW w:w="100" w:type="dxa"/>
            <w:vAlign w:val="bottom"/>
          </w:tcPr>
          <w:p>
            <w:pPr>
              <w:spacing w:after="0"/>
              <w:rPr>
                <w:sz w:val="21"/>
                <w:szCs w:val="21"/>
                <w:color w:val="auto"/>
              </w:rPr>
            </w:pP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147,883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5,861</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147,883</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153,744</w:t>
            </w:r>
          </w:p>
        </w:tc>
        <w:tc>
          <w:tcPr>
            <w:tcW w:w="0" w:type="dxa"/>
            <w:vAlign w:val="bottom"/>
          </w:tcPr>
          <w:p>
            <w:pPr>
              <w:spacing w:after="0"/>
              <w:rPr>
                <w:sz w:val="1"/>
                <w:szCs w:val="1"/>
                <w:color w:val="auto"/>
              </w:rPr>
            </w:pPr>
          </w:p>
        </w:tc>
      </w:tr>
      <w:tr>
        <w:trPr>
          <w:trHeight w:val="67"/>
        </w:trPr>
        <w:tc>
          <w:tcPr>
            <w:tcW w:w="200" w:type="dxa"/>
            <w:vAlign w:val="bottom"/>
          </w:tcPr>
          <w:p>
            <w:pPr>
              <w:spacing w:after="0"/>
              <w:rPr>
                <w:sz w:val="5"/>
                <w:szCs w:val="5"/>
                <w:color w:val="auto"/>
              </w:rPr>
            </w:pPr>
          </w:p>
        </w:tc>
        <w:tc>
          <w:tcPr>
            <w:tcW w:w="3200" w:type="dxa"/>
            <w:vAlign w:val="bottom"/>
            <w:tcBorders>
              <w:bottom w:val="single" w:sz="8" w:color="CCEEFF"/>
            </w:tcBorders>
          </w:tcPr>
          <w:p>
            <w:pPr>
              <w:spacing w:after="0"/>
              <w:rPr>
                <w:sz w:val="5"/>
                <w:szCs w:val="5"/>
                <w:color w:val="auto"/>
              </w:rPr>
            </w:pPr>
          </w:p>
        </w:tc>
        <w:tc>
          <w:tcPr>
            <w:tcW w:w="66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00" w:type="dxa"/>
            <w:vAlign w:val="bottom"/>
          </w:tcPr>
          <w:p>
            <w:pPr>
              <w:spacing w:after="0"/>
              <w:rPr>
                <w:sz w:val="20"/>
                <w:szCs w:val="20"/>
                <w:color w:val="auto"/>
              </w:rPr>
            </w:pPr>
          </w:p>
        </w:tc>
        <w:tc>
          <w:tcPr>
            <w:tcW w:w="386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Pr>
          <w:p>
            <w:pPr>
              <w:spacing w:after="0"/>
              <w:rPr>
                <w:sz w:val="21"/>
                <w:szCs w:val="21"/>
                <w:color w:val="auto"/>
              </w:rPr>
            </w:pPr>
          </w:p>
        </w:tc>
        <w:tc>
          <w:tcPr>
            <w:tcW w:w="1160" w:type="dxa"/>
            <w:vAlign w:val="bottom"/>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3,933</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32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As of December 31, 2018</w:t>
            </w:r>
          </w:p>
        </w:tc>
        <w:tc>
          <w:tcPr>
            <w:tcW w:w="3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00" w:type="dxa"/>
            <w:vAlign w:val="bottom"/>
          </w:tcPr>
          <w:p>
            <w:pPr>
              <w:spacing w:after="0"/>
              <w:rPr>
                <w:sz w:val="19"/>
                <w:szCs w:val="19"/>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00" w:type="dxa"/>
            <w:vAlign w:val="bottom"/>
          </w:tcPr>
          <w:p>
            <w:pPr>
              <w:spacing w:after="0"/>
              <w:rPr>
                <w:sz w:val="3"/>
                <w:szCs w:val="3"/>
                <w:color w:val="auto"/>
              </w:rPr>
            </w:pPr>
          </w:p>
        </w:tc>
        <w:tc>
          <w:tcPr>
            <w:tcW w:w="3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0" w:type="dxa"/>
            <w:vAlign w:val="bottom"/>
          </w:tcPr>
          <w:p>
            <w:pPr>
              <w:spacing w:after="0"/>
              <w:rPr>
                <w:sz w:val="21"/>
                <w:szCs w:val="21"/>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Mutual funds*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0" w:type="dxa"/>
            <w:vAlign w:val="bottom"/>
          </w:tcPr>
          <w:p>
            <w:pPr>
              <w:spacing w:after="0"/>
              <w:rPr>
                <w:sz w:val="1"/>
                <w:szCs w:val="1"/>
                <w:color w:val="auto"/>
              </w:rPr>
            </w:pPr>
          </w:p>
        </w:tc>
      </w:tr>
      <w:tr>
        <w:trPr>
          <w:trHeight w:val="243"/>
        </w:trPr>
        <w:tc>
          <w:tcPr>
            <w:tcW w:w="200" w:type="dxa"/>
            <w:vAlign w:val="bottom"/>
          </w:tcPr>
          <w:p>
            <w:pPr>
              <w:spacing w:after="0"/>
              <w:rPr>
                <w:sz w:val="21"/>
                <w:szCs w:val="21"/>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6,030</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00" w:type="dxa"/>
            <w:vAlign w:val="bottom"/>
          </w:tcPr>
          <w:p>
            <w:pPr>
              <w:spacing w:after="0"/>
              <w:rPr>
                <w:sz w:val="22"/>
                <w:szCs w:val="22"/>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142,408</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6,030</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148,438</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860" w:type="dxa"/>
            <w:vAlign w:val="bottom"/>
            <w:tcBorders>
              <w:top w:val="single" w:sz="8" w:color="CCEEFF"/>
              <w:bottom w:val="single" w:sz="8" w:color="CCEEFF"/>
            </w:tcBorders>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0" w:type="dxa"/>
            <w:vAlign w:val="bottom"/>
          </w:tcPr>
          <w:p>
            <w:pPr>
              <w:spacing w:after="0"/>
              <w:rPr>
                <w:sz w:val="17"/>
                <w:szCs w:val="17"/>
                <w:color w:val="auto"/>
              </w:rPr>
            </w:pPr>
          </w:p>
        </w:tc>
        <w:tc>
          <w:tcPr>
            <w:tcW w:w="386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200" w:type="dxa"/>
            <w:vAlign w:val="bottom"/>
          </w:tcPr>
          <w:p>
            <w:pPr>
              <w:spacing w:after="0"/>
              <w:rPr>
                <w:sz w:val="4"/>
                <w:szCs w:val="4"/>
                <w:color w:val="auto"/>
              </w:rPr>
            </w:pPr>
          </w:p>
        </w:tc>
        <w:tc>
          <w:tcPr>
            <w:tcW w:w="3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0" w:type="dxa"/>
            <w:vAlign w:val="bottom"/>
          </w:tcPr>
          <w:p>
            <w:pPr>
              <w:spacing w:after="0"/>
              <w:rPr>
                <w:sz w:val="23"/>
                <w:szCs w:val="23"/>
                <w:color w:val="auto"/>
              </w:rPr>
            </w:pPr>
          </w:p>
        </w:tc>
        <w:tc>
          <w:tcPr>
            <w:tcW w:w="3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financial instruments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37"/>
        </w:trPr>
        <w:tc>
          <w:tcPr>
            <w:tcW w:w="200" w:type="dxa"/>
            <w:vAlign w:val="bottom"/>
          </w:tcPr>
          <w:p>
            <w:pPr>
              <w:spacing w:after="0"/>
              <w:rPr>
                <w:sz w:val="20"/>
                <w:szCs w:val="20"/>
                <w:color w:val="auto"/>
              </w:rPr>
            </w:pPr>
          </w:p>
        </w:tc>
        <w:tc>
          <w:tcPr>
            <w:tcW w:w="3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060" w:type="dxa"/>
            <w:vAlign w:val="bottom"/>
            <w:tcBorders>
              <w:top w:val="single" w:sz="8" w:color="auto"/>
            </w:tcBorders>
          </w:tcPr>
          <w:p>
            <w:pPr>
              <w:jc w:val="right"/>
              <w:ind w:right="8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6,279</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7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6,279</w:t>
            </w: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Represents short-term investments carried on fair value option under ASC 825 “Financial Instruments” as of September 30, 2019 and December 31,</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2018.</w:t>
      </w:r>
    </w:p>
    <w:p>
      <w:pPr>
        <w:sectPr>
          <w:pgSz w:w="11900" w:h="16838" w:orient="portrait"/>
          <w:cols w:equalWidth="0" w:num="1">
            <w:col w:w="11420"/>
          </w:cols>
          <w:pgMar w:left="240" w:top="117"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17" w:right="239" w:bottom="1440" w:gutter="0" w:footer="0" w:header="0"/>
          <w:type w:val="continuous"/>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Derivative Financial Instruments: </w:t>
      </w:r>
      <w:r>
        <w:rPr>
          <w:rFonts w:ascii="Times New Roman" w:cs="Times New Roman" w:eastAsia="Times New Roman" w:hAnsi="Times New Roman"/>
          <w:sz w:val="18"/>
          <w:szCs w:val="18"/>
          <w:color w:val="auto"/>
        </w:rPr>
        <w:t>The Company’s derivative financial instruments consist of foreign currency forward exchange contracts. Fair values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 financial instruments are based on independent sources including highly rated financial institutions and are classified as Level 2. Refer Note 17 to the unaudited consolidated financial statements for further details.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Company’s other financial instruments not carried at fair value consist primarily of accounts receivable, accounts payable, accrued expenses and outstanding revolver credit for which fair values approximate their carrying amounts due to their short-term nature.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total estimated fair value of the convertible senior notes as of September 30, 2019 and December 31, 2018 was $145,962 and $130,510, respectively. The fair value was determined based on the market yields for similar Notes as of the September 30, 2019 and December 31, 2018. The Company considers the fair value of the Notes to be a Level 2 measurement due to the limited inputs available for its fair valuation.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 of assets:</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Nonrecurring fair value measurements include impairment tests conducted by the Company during the nine months ended September 30, 2019 of its ROU assets and long-lived assets related to its Health Integrated business. The fair value determination for ROU assets was based on third party quotes, which are Level 2 inputs and for other long-lived assets, it was based on Company’s internal assessment, which are Level 3 inputs. During the nine months ended September 30, 2019, the Company recognized impairment charges on ROU assets and long-lived assets to write down the carrying value to their fair values. Refer Note 8 and 21 to the unaudited consolidated financial statements for further details.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Derivatives and Hedge Accounting</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as effective hedges and that qualify as cash flow hedges under ASC 815. The Company had outstanding cash flow hedges totaling $409,725 (including $6,550 of range forward contracts) as of September 30, 2019 and $362,435 (including $6,900 of range forward contracts) as of December 31, 2018.</w:t>
      </w:r>
    </w:p>
    <w:p>
      <w:pPr>
        <w:spacing w:after="0" w:line="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Changes in the fair value of these cash flow hedges are recorded as a component of accumulated other comprehensive income/(loss), net of tax, until the hedged transactions occurs. The resultant foreign exchange gain/(loss) upon settlement of derivative financial instruments are recorded along with the underlying hedged item in the same line of unaudited consolidated statements of income as either part of “Cost of revenues”, “General and administrative expenses”, “Selling and marketing expenses”, “Depreciation and amortization”, as applicable.</w:t>
      </w:r>
    </w:p>
    <w:p>
      <w:pPr>
        <w:spacing w:after="0" w:line="72"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The Company also enters into foreign currency forward contracts to economically hedge its intercompany balances and other monetary assets and liabilities denominated in currencies other than functional currencies. These derivatives do not qualify as fair value hedges under ASC 815. Changes in the fair value of these derivatives are recognized in the unaudited consolidated statements of income and are included in foreign exchange gain/(loss). The Company’s primary exchange rate exposure is with the Indian Rupee, the U.K. pound sterling and the Philippine peso. The Company also has exposure to Colombian pesos, Czech Koruna, the Euro, South African ZAR and other local currencies in which it operates. Outstanding foreign currency forward contracts amounted to $112,925, GBP 13,442 and EUR 1,111 as of September 30, 2019 and amounted to $125,503, GBP 15,616 and EUR 512 as of December 31, 2018.</w:t>
      </w:r>
    </w:p>
    <w:p>
      <w:pPr>
        <w:spacing w:after="0" w:line="8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uses forward contracts designated as net investment hedges to hedge the foreign currency risks related to our investment in foreign subsidiaries. Gains and losses on these forward contracts are recognized in AOCI as part of the foreign currency translation adjustment.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17"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42"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estimates that approximately $1,302 of net derivative gains, excluding tax effects, included in accumulated other comprehensive loss representing changes in the value of cash flow hedges, could be reclassified into earnings within the next twelve months based on exchange rates prevailing as of September 30, 2019. At September 30, 2019, the maximum outstanding term of the cash flow hedges was 45 months.</w:t>
      </w:r>
    </w:p>
    <w:p>
      <w:pPr>
        <w:spacing w:after="0" w:line="68"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The Company evaluates hedge effectiveness at the time a contract is entered into as well as on an ongoing basis. For hedging positions that are discontinued because the forecasted transaction is not expected to occur by the end of the originally specified period, any related amounts recorded in equity are reclassified to earnings.</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fair value of the foreign currency exchange contracts and their location on the unaudited consolidated financial statements:</w:t>
      </w:r>
    </w:p>
    <w:p>
      <w:pPr>
        <w:sectPr>
          <w:pgSz w:w="11900" w:h="16838" w:orient="portrait"/>
          <w:cols w:equalWidth="0" w:num="1">
            <w:col w:w="11420"/>
          </w:cols>
          <w:pgMar w:left="240" w:top="117" w:right="239" w:bottom="1440" w:gutter="0" w:footer="0" w:header="0"/>
        </w:sectPr>
      </w:pPr>
    </w:p>
    <w:p>
      <w:pPr>
        <w:spacing w:after="0" w:line="32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8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47625</wp:posOffset>
            </wp:positionV>
            <wp:extent cx="270129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80"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6"/>
          <w:szCs w:val="16"/>
          <w:b w:val="1"/>
          <w:bCs w:val="1"/>
          <w:color w:val="auto"/>
        </w:rPr>
        <w:t>September 30, 2019</w:t>
      </w:r>
      <w:r>
        <w:rPr>
          <w:sz w:val="20"/>
          <w:szCs w:val="20"/>
          <w:color w:val="auto"/>
        </w:rPr>
        <w:tab/>
      </w:r>
      <w:r>
        <w:rPr>
          <w:rFonts w:ascii="Times New Roman" w:cs="Times New Roman" w:eastAsia="Times New Roman" w:hAnsi="Times New Roman"/>
          <w:sz w:val="16"/>
          <w:szCs w:val="16"/>
          <w:b w:val="1"/>
          <w:bCs w:val="1"/>
          <w:color w:val="auto"/>
        </w:rPr>
        <w:t>December 31, 2018</w:t>
      </w:r>
    </w:p>
    <w:p>
      <w:pPr>
        <w:spacing w:after="0" w:line="55" w:lineRule="exact"/>
        <w:rPr>
          <w:sz w:val="20"/>
          <w:szCs w:val="20"/>
          <w:color w:val="auto"/>
        </w:rPr>
      </w:pPr>
    </w:p>
    <w:p>
      <w:pPr>
        <w:sectPr>
          <w:pgSz w:w="11900" w:h="16838" w:orient="portrait"/>
          <w:cols w:equalWidth="0" w:num="2">
            <w:col w:w="6220" w:space="720"/>
            <w:col w:w="448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64"/>
        </w:trPr>
        <w:tc>
          <w:tcPr>
            <w:tcW w:w="598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800" w:type="dxa"/>
            <w:vAlign w:val="bottom"/>
            <w:tcBorders>
              <w:top w:val="single" w:sz="8" w:color="auto"/>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3,118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4,022</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assets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2,734</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1,971</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1,816</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3,137</w:t>
            </w:r>
          </w:p>
        </w:tc>
      </w:tr>
      <w:tr>
        <w:trPr>
          <w:trHeight w:val="243"/>
        </w:trPr>
        <w:tc>
          <w:tcPr>
            <w:tcW w:w="6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c>
          <w:tcPr>
            <w:tcW w:w="100" w:type="dxa"/>
            <w:vAlign w:val="bottom"/>
          </w:tcPr>
          <w:p>
            <w:pPr>
              <w:spacing w:after="0"/>
              <w:rPr>
                <w:sz w:val="21"/>
                <w:szCs w:val="21"/>
                <w:color w:val="auto"/>
              </w:rPr>
            </w:pPr>
          </w:p>
        </w:tc>
        <w:tc>
          <w:tcPr>
            <w:tcW w:w="90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3,075</w:t>
            </w:r>
          </w:p>
        </w:tc>
      </w:tr>
      <w:tr>
        <w:trPr>
          <w:trHeight w:val="27"/>
        </w:trPr>
        <w:tc>
          <w:tcPr>
            <w:tcW w:w="5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5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bl>
    <w:p>
      <w:pPr>
        <w:spacing w:after="0" w:line="11" w:lineRule="exact"/>
        <w:rPr>
          <w:sz w:val="20"/>
          <w:szCs w:val="20"/>
          <w:color w:val="auto"/>
        </w:rPr>
      </w:pPr>
    </w:p>
    <w:p>
      <w:pPr>
        <w:sectPr>
          <w:pgSz w:w="11900" w:h="16838" w:orient="portrait"/>
          <w:cols w:equalWidth="0" w:num="1">
            <w:col w:w="11420"/>
          </w:cols>
          <w:pgMar w:left="240" w:top="117" w:right="2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p>
      <w:pPr>
        <w:spacing w:after="0" w:line="10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Foreign currency exchange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47625</wp:posOffset>
            </wp:positionV>
            <wp:extent cx="379031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7903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840"/>
        <w:spacing w:after="0"/>
        <w:rPr>
          <w:sz w:val="20"/>
          <w:szCs w:val="20"/>
          <w:color w:val="auto"/>
        </w:rPr>
      </w:pPr>
      <w:r>
        <w:rPr>
          <w:rFonts w:ascii="Times New Roman" w:cs="Times New Roman" w:eastAsia="Times New Roman" w:hAnsi="Times New Roman"/>
          <w:sz w:val="16"/>
          <w:szCs w:val="16"/>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47625</wp:posOffset>
            </wp:positionV>
            <wp:extent cx="6560185" cy="1803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560185" cy="180340"/>
                    </a:xfrm>
                    <a:prstGeom prst="rect">
                      <a:avLst/>
                    </a:prstGeom>
                    <a:noFill/>
                  </pic:spPr>
                </pic:pic>
              </a:graphicData>
            </a:graphic>
          </wp:anchor>
        </w:drawing>
      </w:r>
    </w:p>
    <w:p>
      <w:pPr>
        <w:spacing w:after="0" w:line="80" w:lineRule="exact"/>
        <w:rPr>
          <w:sz w:val="20"/>
          <w:szCs w:val="20"/>
          <w:color w:val="auto"/>
        </w:rPr>
      </w:pPr>
    </w:p>
    <w:p>
      <w:pPr>
        <w:spacing w:after="0"/>
        <w:tabs>
          <w:tab w:leader="none" w:pos="2180" w:val="left"/>
        </w:tabs>
        <w:rPr>
          <w:sz w:val="20"/>
          <w:szCs w:val="20"/>
          <w:color w:val="auto"/>
        </w:rPr>
      </w:pPr>
      <w:r>
        <w:rPr>
          <w:rFonts w:ascii="Times New Roman" w:cs="Times New Roman" w:eastAsia="Times New Roman" w:hAnsi="Times New Roman"/>
          <w:sz w:val="16"/>
          <w:szCs w:val="16"/>
          <w:b w:val="1"/>
          <w:bCs w:val="1"/>
          <w:color w:val="auto"/>
        </w:rPr>
        <w:t>September 30, 2019</w:t>
      </w:r>
      <w:r>
        <w:rPr>
          <w:sz w:val="20"/>
          <w:szCs w:val="20"/>
          <w:color w:val="auto"/>
        </w:rPr>
        <w:tab/>
      </w:r>
      <w:r>
        <w:rPr>
          <w:rFonts w:ascii="Times New Roman" w:cs="Times New Roman" w:eastAsia="Times New Roman" w:hAnsi="Times New Roman"/>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47625</wp:posOffset>
            </wp:positionV>
            <wp:extent cx="270129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97" w:lineRule="exact"/>
        <w:rPr>
          <w:sz w:val="20"/>
          <w:szCs w:val="20"/>
          <w:color w:val="auto"/>
        </w:rPr>
      </w:pPr>
    </w:p>
    <w:p>
      <w:pPr>
        <w:sectPr>
          <w:pgSz w:w="11900" w:h="16838" w:orient="portrait"/>
          <w:cols w:equalWidth="0" w:num="2">
            <w:col w:w="6220" w:space="720"/>
            <w:col w:w="4480"/>
          </w:cols>
          <w:pgMar w:left="240" w:top="117" w:right="239" w:bottom="1440" w:gutter="0" w:footer="0" w:header="0"/>
          <w:type w:val="continuous"/>
        </w:sectPr>
      </w:pPr>
    </w:p>
    <w:tbl>
      <w:tblPr>
        <w:tblLayout w:type="fixed"/>
        <w:tblInd w:w="540" w:type="dxa"/>
        <w:tblCellMar>
          <w:top w:w="0" w:type="dxa"/>
          <w:left w:w="0" w:type="dxa"/>
          <w:bottom w:w="0" w:type="dxa"/>
          <w:right w:w="0" w:type="dxa"/>
        </w:tblCellMar>
      </w:tblPr>
      <w:tr>
        <w:trPr>
          <w:trHeight w:val="234"/>
        </w:trPr>
        <w:tc>
          <w:tcPr>
            <w:tcW w:w="47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22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47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47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2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233</w:t>
            </w:r>
          </w:p>
        </w:tc>
        <w:tc>
          <w:tcPr>
            <w:tcW w:w="11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r>
      <w:tr>
        <w:trPr>
          <w:trHeight w:val="27"/>
        </w:trPr>
        <w:tc>
          <w:tcPr>
            <w:tcW w:w="4720" w:type="dxa"/>
            <w:vAlign w:val="bottom"/>
            <w:shd w:val="clear" w:color="auto" w:fill="CCEEFF"/>
          </w:tcPr>
          <w:p>
            <w:pPr>
              <w:spacing w:after="0"/>
              <w:rPr>
                <w:sz w:val="2"/>
                <w:szCs w:val="2"/>
                <w:color w:val="auto"/>
              </w:rPr>
            </w:pPr>
          </w:p>
        </w:tc>
        <w:tc>
          <w:tcPr>
            <w:tcW w:w="2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tables set forth the effect of foreign currency exchange contracts on the unaudited consolidated statements of income and accumulated other comprehensive loss for the three and nine months ended September 30, 2019 and 2018:</w:t>
      </w:r>
    </w:p>
    <w:p>
      <w:pPr>
        <w:spacing w:after="0" w:line="326"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4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Pr>
          <w:p>
            <w:pPr>
              <w:spacing w:after="0"/>
              <w:rPr>
                <w:sz w:val="18"/>
                <w:szCs w:val="18"/>
                <w:color w:val="auto"/>
              </w:rPr>
            </w:pPr>
          </w:p>
        </w:tc>
        <w:tc>
          <w:tcPr>
            <w:tcW w:w="2800" w:type="dxa"/>
            <w:vAlign w:val="bottom"/>
            <w:gridSpan w:val="4"/>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47"/>
        </w:trPr>
        <w:tc>
          <w:tcPr>
            <w:tcW w:w="4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17"/>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Forward Exchange Contracts:</w:t>
            </w:r>
          </w:p>
        </w:tc>
        <w:tc>
          <w:tcPr>
            <w:tcW w:w="260" w:type="dxa"/>
            <w:vAlign w:val="bottom"/>
          </w:tcPr>
          <w:p>
            <w:pPr>
              <w:spacing w:after="0"/>
              <w:rPr>
                <w:sz w:val="18"/>
                <w:szCs w:val="18"/>
                <w:color w:val="auto"/>
              </w:rPr>
            </w:pPr>
          </w:p>
        </w:tc>
        <w:tc>
          <w:tcPr>
            <w:tcW w:w="1280" w:type="dxa"/>
            <w:vAlign w:val="bottom"/>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47"/>
        </w:trPr>
        <w:tc>
          <w:tcPr>
            <w:tcW w:w="4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2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244"/>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Gain/(Loss) recognized in AOCI</w:t>
            </w:r>
          </w:p>
        </w:tc>
        <w:tc>
          <w:tcPr>
            <w:tcW w:w="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Derivatives in cash flow hedging relationships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(29,187)</w:t>
            </w:r>
          </w:p>
        </w:tc>
      </w:tr>
      <w:tr>
        <w:trPr>
          <w:trHeight w:val="27"/>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324"/>
        </w:trPr>
        <w:tc>
          <w:tcPr>
            <w:tcW w:w="44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14"/>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Gain/(Loss) recognized in unaudited consolidated statements of</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2"/>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33"/>
        </w:trPr>
        <w:tc>
          <w:tcPr>
            <w:tcW w:w="4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r>
      <w:tr>
        <w:trPr>
          <w:trHeight w:val="459"/>
        </w:trPr>
        <w:tc>
          <w:tcPr>
            <w:tcW w:w="4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tcPr>
          <w:p>
            <w:pPr>
              <w:jc w:val="right"/>
              <w:ind w:right="474"/>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type w:val="continuous"/>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740" w:right="760"/>
        <w:spacing w:after="0" w:line="301" w:lineRule="auto"/>
        <w:rPr>
          <w:sz w:val="20"/>
          <w:szCs w:val="20"/>
          <w:color w:val="auto"/>
        </w:rPr>
      </w:pPr>
      <w:r>
        <w:rPr>
          <w:rFonts w:ascii="Times New Roman" w:cs="Times New Roman" w:eastAsia="Times New Roman" w:hAnsi="Times New Roman"/>
          <w:sz w:val="16"/>
          <w:szCs w:val="16"/>
          <w:b w:val="1"/>
          <w:bCs w:val="1"/>
          <w:color w:val="auto"/>
        </w:rPr>
        <w:t>Location and amount of gain/(loss) recognized in unaudited consolidated statements of income for cash flow hedging relationships and derivatives not designated as hedging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-7620</wp:posOffset>
            </wp:positionV>
            <wp:extent cx="63633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363335" cy="8890"/>
                    </a:xfrm>
                    <a:prstGeom prst="rect">
                      <a:avLst/>
                    </a:prstGeom>
                    <a:noFill/>
                  </pic:spPr>
                </pic:pic>
              </a:graphicData>
            </a:graphic>
          </wp:anchor>
        </w:drawing>
      </w:r>
    </w:p>
    <w:p>
      <w:pPr>
        <w:ind w:left="67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47625</wp:posOffset>
            </wp:positionV>
            <wp:extent cx="353314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93" w:lineRule="exact"/>
        <w:rPr>
          <w:sz w:val="20"/>
          <w:szCs w:val="20"/>
          <w:color w:val="auto"/>
        </w:rPr>
      </w:pPr>
    </w:p>
    <w:tbl>
      <w:tblPr>
        <w:tblLayout w:type="fixed"/>
        <w:tblInd w:w="720" w:type="dxa"/>
        <w:tblCellMar>
          <w:top w:w="0" w:type="dxa"/>
          <w:left w:w="0" w:type="dxa"/>
          <w:bottom w:w="0" w:type="dxa"/>
          <w:right w:w="0" w:type="dxa"/>
        </w:tblCellMar>
      </w:tblPr>
      <w:tr>
        <w:trPr>
          <w:trHeight w:val="212"/>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2019</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3"/>
              </w:rPr>
              <w:t>2018</w:t>
            </w:r>
          </w:p>
        </w:tc>
        <w:tc>
          <w:tcPr>
            <w:tcW w:w="1180" w:type="dxa"/>
            <w:vAlign w:val="bottom"/>
          </w:tcPr>
          <w:p>
            <w:pPr>
              <w:spacing w:after="0"/>
              <w:rPr>
                <w:sz w:val="18"/>
                <w:szCs w:val="18"/>
                <w:color w:val="auto"/>
              </w:rPr>
            </w:pPr>
          </w:p>
        </w:tc>
      </w:tr>
      <w:tr>
        <w:trPr>
          <w:trHeight w:val="33"/>
        </w:trPr>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gridSpan w:val="5"/>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7"/>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5"/>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Gain/(loss) on</w:t>
            </w:r>
          </w:p>
        </w:tc>
        <w:tc>
          <w:tcPr>
            <w:tcW w:w="1560" w:type="dxa"/>
            <w:vAlign w:val="bottom"/>
            <w:gridSpan w:val="5"/>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6"/>
                <w:szCs w:val="16"/>
                <w:b w:val="1"/>
                <w:bCs w:val="1"/>
                <w:color w:val="auto"/>
              </w:rPr>
              <w:t>Gain/(loss) on</w:t>
            </w: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r>
      <w:tr>
        <w:trPr>
          <w:trHeight w:val="203"/>
        </w:trPr>
        <w:tc>
          <w:tcPr>
            <w:tcW w:w="4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6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exchange</w:t>
            </w:r>
          </w:p>
        </w:tc>
      </w:tr>
      <w:tr>
        <w:trPr>
          <w:trHeight w:val="212"/>
        </w:trPr>
        <w:tc>
          <w:tcPr>
            <w:tcW w:w="4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w w:val="98"/>
              </w:rPr>
              <w:t>contracts</w:t>
            </w:r>
          </w:p>
        </w:tc>
      </w:tr>
      <w:tr>
        <w:trPr>
          <w:trHeight w:val="33"/>
        </w:trPr>
        <w:tc>
          <w:tcPr>
            <w:tcW w:w="4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25"/>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4"/>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where gain/(loss) was reclassed from AOCI</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24"/>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167,542</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152,157</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w:t>
            </w:r>
          </w:p>
        </w:tc>
      </w:tr>
      <w:tr>
        <w:trPr>
          <w:trHeight w:val="243"/>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&amp; marketing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67"/>
        </w:trPr>
        <w:tc>
          <w:tcPr>
            <w:tcW w:w="43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CCEEFF"/>
            </w:tcBorders>
          </w:tcPr>
          <w:p>
            <w:pPr>
              <w:spacing w:after="0"/>
              <w:rPr>
                <w:sz w:val="5"/>
                <w:szCs w:val="5"/>
                <w:color w:val="auto"/>
              </w:rPr>
            </w:pPr>
          </w:p>
        </w:tc>
        <w:tc>
          <w:tcPr>
            <w:tcW w:w="106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305"/>
        </w:trPr>
        <w:tc>
          <w:tcPr>
            <w:tcW w:w="4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7"/>
        </w:trPr>
        <w:tc>
          <w:tcPr>
            <w:tcW w:w="44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33"/>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5"/>
        </w:trPr>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41"/>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324"/>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4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37"/>
        </w:trPr>
        <w:tc>
          <w:tcPr>
            <w:tcW w:w="4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1,385</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(4,268)</w:t>
            </w:r>
          </w:p>
        </w:tc>
      </w:tr>
      <w:tr>
        <w:trPr>
          <w:trHeight w:val="27"/>
        </w:trPr>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
        </w:trPr>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656"/>
        </w:trPr>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493"/>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740"/>
          </w:cols>
          <w:pgMar w:left="240" w:top="117" w:right="91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382905</wp:posOffset>
            </wp:positionV>
            <wp:extent cx="353314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3281045</wp:posOffset>
            </wp:positionH>
            <wp:positionV relativeFrom="paragraph">
              <wp:posOffset>38735</wp:posOffset>
            </wp:positionV>
            <wp:extent cx="353314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80" w:lineRule="exact"/>
        <w:rPr>
          <w:sz w:val="20"/>
          <w:szCs w:val="20"/>
          <w:color w:val="auto"/>
        </w:rPr>
      </w:pPr>
    </w:p>
    <w:tbl>
      <w:tblPr>
        <w:tblLayout w:type="fixed"/>
        <w:tblInd w:w="5160" w:type="dxa"/>
        <w:tblCellMar>
          <w:top w:w="0" w:type="dxa"/>
          <w:left w:w="0" w:type="dxa"/>
          <w:bottom w:w="0" w:type="dxa"/>
          <w:right w:w="0" w:type="dxa"/>
        </w:tblCellMar>
      </w:tblPr>
      <w:tr>
        <w:trPr>
          <w:trHeight w:val="212"/>
        </w:trPr>
        <w:tc>
          <w:tcPr>
            <w:tcW w:w="274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740" w:type="dxa"/>
            <w:vAlign w:val="bottom"/>
            <w:gridSpan w:val="2"/>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33"/>
        </w:trPr>
        <w:tc>
          <w:tcPr>
            <w:tcW w:w="1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Gain on foreign</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As per unaudited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Gain/(loss) on</w:t>
            </w:r>
          </w:p>
        </w:tc>
      </w:tr>
      <w:tr>
        <w:trPr>
          <w:trHeight w:val="203"/>
        </w:trPr>
        <w:tc>
          <w:tcPr>
            <w:tcW w:w="14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foreign currency</w:t>
            </w:r>
          </w:p>
        </w:tc>
      </w:tr>
      <w:tr>
        <w:trPr>
          <w:trHeight w:val="203"/>
        </w:trPr>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statements of</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exchange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statements of</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exchange</w:t>
            </w:r>
          </w:p>
        </w:tc>
      </w:tr>
      <w:tr>
        <w:trPr>
          <w:trHeight w:val="212"/>
        </w:trPr>
        <w:tc>
          <w:tcPr>
            <w:tcW w:w="140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contracts</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contracts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20955</wp:posOffset>
            </wp:positionV>
            <wp:extent cx="63633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63335" cy="8890"/>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-535940</wp:posOffset>
            </wp:positionV>
            <wp:extent cx="276161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61615" cy="8890"/>
                    </a:xfrm>
                    <a:prstGeom prst="rect">
                      <a:avLst/>
                    </a:prstGeom>
                    <a:noFill/>
                  </pic:spPr>
                </pic:pic>
              </a:graphicData>
            </a:graphic>
          </wp:anchor>
        </w:drawing>
      </w:r>
    </w:p>
    <w:p>
      <w:pPr>
        <w:spacing w:after="0" w:line="51"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6"/>
          <w:szCs w:val="16"/>
          <w:b w:val="1"/>
          <w:bCs w:val="1"/>
          <w:color w:val="auto"/>
        </w:rPr>
        <w:t>Cash flow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38735</wp:posOffset>
            </wp:positionV>
            <wp:extent cx="6363335"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63335" cy="308610"/>
                    </a:xfrm>
                    <a:prstGeom prst="rect">
                      <a:avLst/>
                    </a:prstGeom>
                    <a:noFill/>
                  </pic:spPr>
                </pic:pic>
              </a:graphicData>
            </a:graphic>
          </wp:anchor>
        </w:drawing>
      </w:r>
    </w:p>
    <w:p>
      <w:pPr>
        <w:spacing w:after="0" w:line="50"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Location in unaudited consolidated statements of income</w:t>
      </w:r>
    </w:p>
    <w:p>
      <w:pPr>
        <w:spacing w:after="0" w:line="27"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where gain/(loss) was reclassed from AOCI</w:t>
      </w:r>
    </w:p>
    <w:p>
      <w:pPr>
        <w:spacing w:after="0" w:line="360" w:lineRule="exact"/>
        <w:rPr>
          <w:sz w:val="20"/>
          <w:szCs w:val="20"/>
          <w:color w:val="auto"/>
        </w:rPr>
      </w:pPr>
    </w:p>
    <w:tbl>
      <w:tblPr>
        <w:tblLayout w:type="fixed"/>
        <w:tblInd w:w="340" w:type="dxa"/>
        <w:tblCellMar>
          <w:top w:w="0" w:type="dxa"/>
          <w:left w:w="0" w:type="dxa"/>
          <w:bottom w:w="0" w:type="dxa"/>
          <w:right w:w="0" w:type="dxa"/>
        </w:tblCellMar>
      </w:tblPr>
      <w:tr>
        <w:trPr>
          <w:trHeight w:val="270"/>
        </w:trPr>
        <w:tc>
          <w:tcPr>
            <w:tcW w:w="380" w:type="dxa"/>
            <w:vAlign w:val="bottom"/>
          </w:tcPr>
          <w:p>
            <w:pPr>
              <w:spacing w:after="0"/>
              <w:rPr>
                <w:sz w:val="23"/>
                <w:szCs w:val="23"/>
                <w:color w:val="auto"/>
              </w:rPr>
            </w:pPr>
          </w:p>
        </w:tc>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shd w:val="clear" w:color="auto" w:fill="CCEEFF"/>
          </w:tcPr>
          <w:p>
            <w:pPr>
              <w:spacing w:after="0"/>
              <w:rPr>
                <w:sz w:val="23"/>
                <w:szCs w:val="23"/>
                <w:color w:val="auto"/>
              </w:rPr>
            </w:pPr>
          </w:p>
        </w:tc>
        <w:tc>
          <w:tcPr>
            <w:tcW w:w="8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487,228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2,682</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429,907</w:t>
            </w:r>
          </w:p>
        </w:tc>
        <w:tc>
          <w:tcPr>
            <w:tcW w:w="100" w:type="dxa"/>
            <w:vAlign w:val="bottom"/>
            <w:shd w:val="clear" w:color="auto" w:fill="CCEEFF"/>
          </w:tcPr>
          <w:p>
            <w:pPr>
              <w:spacing w:after="0"/>
              <w:rPr>
                <w:sz w:val="23"/>
                <w:szCs w:val="23"/>
                <w:color w:val="auto"/>
              </w:rPr>
            </w:pPr>
          </w:p>
        </w:tc>
        <w:tc>
          <w:tcPr>
            <w:tcW w:w="20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3,260</w:t>
            </w:r>
          </w:p>
        </w:tc>
        <w:tc>
          <w:tcPr>
            <w:tcW w:w="360" w:type="dxa"/>
            <w:vAlign w:val="bottom"/>
          </w:tcPr>
          <w:p>
            <w:pPr>
              <w:spacing w:after="0"/>
              <w:rPr>
                <w:sz w:val="23"/>
                <w:szCs w:val="23"/>
                <w:color w:val="auto"/>
              </w:rPr>
            </w:pPr>
          </w:p>
        </w:tc>
      </w:tr>
      <w:tr>
        <w:trPr>
          <w:trHeight w:val="243"/>
        </w:trPr>
        <w:tc>
          <w:tcPr>
            <w:tcW w:w="38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21"/>
                <w:szCs w:val="21"/>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93,349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85,610</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523</w:t>
            </w:r>
          </w:p>
        </w:tc>
        <w:tc>
          <w:tcPr>
            <w:tcW w:w="36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380" w:type="dxa"/>
            <w:vAlign w:val="bottom"/>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&amp; marketing expenses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53,996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45,593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c>
          <w:tcPr>
            <w:tcW w:w="360" w:type="dxa"/>
            <w:vAlign w:val="bottom"/>
          </w:tcPr>
          <w:p>
            <w:pPr>
              <w:spacing w:after="0"/>
              <w:rPr>
                <w:sz w:val="21"/>
                <w:szCs w:val="21"/>
                <w:color w:val="auto"/>
              </w:rPr>
            </w:pPr>
          </w:p>
        </w:tc>
      </w:tr>
      <w:tr>
        <w:trPr>
          <w:trHeight w:val="243"/>
        </w:trPr>
        <w:tc>
          <w:tcPr>
            <w:tcW w:w="38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280" w:type="dxa"/>
            <w:vAlign w:val="bottom"/>
          </w:tcPr>
          <w:p>
            <w:pPr>
              <w:spacing w:after="0"/>
              <w:rPr>
                <w:sz w:val="21"/>
                <w:szCs w:val="21"/>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39,466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35,185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234</w:t>
            </w:r>
          </w:p>
        </w:tc>
        <w:tc>
          <w:tcPr>
            <w:tcW w:w="36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69"/>
        </w:trPr>
        <w:tc>
          <w:tcPr>
            <w:tcW w:w="38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4,073</w:t>
            </w:r>
          </w:p>
        </w:tc>
        <w:tc>
          <w:tcPr>
            <w:tcW w:w="360" w:type="dxa"/>
            <w:vAlign w:val="bottom"/>
          </w:tcPr>
          <w:p>
            <w:pPr>
              <w:spacing w:after="0"/>
              <w:rPr>
                <w:sz w:val="22"/>
                <w:szCs w:val="22"/>
                <w:color w:val="auto"/>
              </w:rPr>
            </w:pPr>
          </w:p>
        </w:tc>
      </w:tr>
      <w:tr>
        <w:trPr>
          <w:trHeight w:val="20"/>
        </w:trPr>
        <w:tc>
          <w:tcPr>
            <w:tcW w:w="38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5"/>
        </w:trPr>
        <w:tc>
          <w:tcPr>
            <w:tcW w:w="3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380" w:type="dxa"/>
            <w:vAlign w:val="bottom"/>
          </w:tcPr>
          <w:p>
            <w:pPr>
              <w:spacing w:after="0"/>
              <w:rPr>
                <w:sz w:val="21"/>
                <w:szCs w:val="21"/>
                <w:color w:val="auto"/>
              </w:rPr>
            </w:pPr>
          </w:p>
        </w:tc>
        <w:tc>
          <w:tcPr>
            <w:tcW w:w="3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Pr>
          <w:p>
            <w:pPr>
              <w:spacing w:after="0"/>
              <w:rPr>
                <w:sz w:val="21"/>
                <w:szCs w:val="21"/>
                <w:color w:val="auto"/>
              </w:rPr>
            </w:pPr>
          </w:p>
        </w:tc>
      </w:tr>
      <w:tr>
        <w:trPr>
          <w:trHeight w:val="225"/>
        </w:trPr>
        <w:tc>
          <w:tcPr>
            <w:tcW w:w="380" w:type="dxa"/>
            <w:vAlign w:val="bottom"/>
          </w:tcPr>
          <w:p>
            <w:pPr>
              <w:spacing w:after="0"/>
              <w:rPr>
                <w:sz w:val="19"/>
                <w:szCs w:val="19"/>
                <w:color w:val="auto"/>
              </w:rPr>
            </w:pPr>
          </w:p>
        </w:tc>
        <w:tc>
          <w:tcPr>
            <w:tcW w:w="41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w w:val="99"/>
              </w:rPr>
              <w:t>Location in unaudited consolidated statements of income</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4"/>
        </w:trPr>
        <w:tc>
          <w:tcPr>
            <w:tcW w:w="380" w:type="dxa"/>
            <w:vAlign w:val="bottom"/>
          </w:tcPr>
          <w:p>
            <w:pPr>
              <w:spacing w:after="0"/>
              <w:rPr>
                <w:sz w:val="20"/>
                <w:szCs w:val="20"/>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where gain/(loss) was recognized</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27"/>
        </w:trPr>
        <w:tc>
          <w:tcPr>
            <w:tcW w:w="3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324"/>
        </w:trPr>
        <w:tc>
          <w:tcPr>
            <w:tcW w:w="380" w:type="dxa"/>
            <w:vAlign w:val="bottom"/>
          </w:tcPr>
          <w:p>
            <w:pPr>
              <w:spacing w:after="0"/>
              <w:rPr>
                <w:sz w:val="24"/>
                <w:szCs w:val="24"/>
                <w:color w:val="auto"/>
              </w:rPr>
            </w:pPr>
          </w:p>
        </w:tc>
        <w:tc>
          <w:tcPr>
            <w:tcW w:w="3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300" w:type="dxa"/>
            <w:vAlign w:val="bottom"/>
            <w:gridSpan w:val="2"/>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tcPr>
          <w:p>
            <w:pPr>
              <w:spacing w:after="0"/>
              <w:rPr>
                <w:sz w:val="24"/>
                <w:szCs w:val="24"/>
                <w:color w:val="auto"/>
              </w:rPr>
            </w:pPr>
          </w:p>
        </w:tc>
      </w:tr>
      <w:tr>
        <w:trPr>
          <w:trHeight w:val="243"/>
        </w:trPr>
        <w:tc>
          <w:tcPr>
            <w:tcW w:w="380" w:type="dxa"/>
            <w:vAlign w:val="bottom"/>
          </w:tcPr>
          <w:p>
            <w:pPr>
              <w:spacing w:after="0"/>
              <w:rPr>
                <w:sz w:val="21"/>
                <w:szCs w:val="21"/>
                <w:color w:val="auto"/>
              </w:rPr>
            </w:pPr>
          </w:p>
        </w:tc>
        <w:tc>
          <w:tcPr>
            <w:tcW w:w="3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gain/(loss), net</w:t>
            </w:r>
          </w:p>
        </w:tc>
        <w:tc>
          <w:tcPr>
            <w:tcW w:w="280" w:type="dxa"/>
            <w:vAlign w:val="bottom"/>
          </w:tcPr>
          <w:p>
            <w:pPr>
              <w:spacing w:after="0"/>
              <w:rPr>
                <w:sz w:val="21"/>
                <w:szCs w:val="21"/>
                <w:color w:val="auto"/>
              </w:rPr>
            </w:pPr>
          </w:p>
        </w:tc>
        <w:tc>
          <w:tcPr>
            <w:tcW w:w="8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3"/>
          </w:tcPr>
          <w:p>
            <w:pPr>
              <w:jc w:val="right"/>
              <w:ind w:right="14"/>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3,525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Pr>
          <w:p>
            <w:pPr>
              <w:spacing w:after="0"/>
              <w:rPr>
                <w:sz w:val="21"/>
                <w:szCs w:val="21"/>
                <w:color w:val="auto"/>
              </w:rPr>
            </w:pPr>
          </w:p>
        </w:tc>
        <w:tc>
          <w:tcPr>
            <w:tcW w:w="2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360" w:type="dxa"/>
            <w:vAlign w:val="bottom"/>
          </w:tcPr>
          <w:p>
            <w:pPr>
              <w:spacing w:after="0"/>
              <w:rPr>
                <w:sz w:val="21"/>
                <w:szCs w:val="21"/>
                <w:color w:val="auto"/>
              </w:rPr>
            </w:pPr>
          </w:p>
        </w:tc>
      </w:tr>
      <w:tr>
        <w:trPr>
          <w:trHeight w:val="27"/>
        </w:trPr>
        <w:tc>
          <w:tcPr>
            <w:tcW w:w="380" w:type="dxa"/>
            <w:vAlign w:val="bottom"/>
          </w:tcPr>
          <w:p>
            <w:pPr>
              <w:spacing w:after="0"/>
              <w:rPr>
                <w:sz w:val="2"/>
                <w:szCs w:val="2"/>
                <w:color w:val="auto"/>
              </w:rPr>
            </w:pPr>
          </w:p>
        </w:tc>
        <w:tc>
          <w:tcPr>
            <w:tcW w:w="37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269"/>
        </w:trPr>
        <w:tc>
          <w:tcPr>
            <w:tcW w:w="380" w:type="dxa"/>
            <w:vAlign w:val="bottom"/>
          </w:tcPr>
          <w:p>
            <w:pPr>
              <w:spacing w:after="0"/>
              <w:rPr>
                <w:sz w:val="22"/>
                <w:szCs w:val="22"/>
                <w:color w:val="auto"/>
              </w:rPr>
            </w:pPr>
          </w:p>
        </w:tc>
        <w:tc>
          <w:tcPr>
            <w:tcW w:w="3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3,414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360" w:type="dxa"/>
            <w:vAlign w:val="bottom"/>
          </w:tcPr>
          <w:p>
            <w:pPr>
              <w:spacing w:after="0"/>
              <w:rPr>
                <w:sz w:val="22"/>
                <w:szCs w:val="22"/>
                <w:color w:val="auto"/>
              </w:rPr>
            </w:pPr>
          </w:p>
        </w:tc>
      </w:tr>
      <w:tr>
        <w:trPr>
          <w:trHeight w:val="20"/>
        </w:trPr>
        <w:tc>
          <w:tcPr>
            <w:tcW w:w="380" w:type="dxa"/>
            <w:vAlign w:val="bottom"/>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gridSpan w:val="3"/>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575"/>
        </w:trPr>
        <w:tc>
          <w:tcPr>
            <w:tcW w:w="59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net investment hedges on accumulated other comprehensive loss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
        </w:trPr>
        <w:tc>
          <w:tcPr>
            <w:tcW w:w="3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gridSpan w:val="9"/>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60" w:type="dxa"/>
            <w:vAlign w:val="bottom"/>
            <w:tcBorders>
              <w:bottom w:val="single" w:sz="8" w:color="auto"/>
            </w:tcBorders>
            <w:gridSpan w:val="7"/>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9"/>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7"/>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47"/>
        </w:trPr>
        <w:tc>
          <w:tcPr>
            <w:tcW w:w="380" w:type="dxa"/>
            <w:vAlign w:val="bottom"/>
            <w:tcBorders>
              <w:bottom w:val="single" w:sz="8" w:color="auto"/>
            </w:tcBorders>
          </w:tcPr>
          <w:p>
            <w:pPr>
              <w:spacing w:after="0"/>
              <w:rPr>
                <w:sz w:val="4"/>
                <w:szCs w:val="4"/>
                <w:color w:val="auto"/>
              </w:rPr>
            </w:pPr>
          </w:p>
        </w:tc>
        <w:tc>
          <w:tcPr>
            <w:tcW w:w="3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940" w:type="dxa"/>
            <w:vAlign w:val="bottom"/>
            <w:tcBorders>
              <w:bottom w:val="single" w:sz="8" w:color="auto"/>
            </w:tcBorders>
            <w:gridSpan w:val="8"/>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960" w:type="dxa"/>
            <w:vAlign w:val="bottom"/>
            <w:tcBorders>
              <w:bottom w:val="single" w:sz="8" w:color="auto"/>
            </w:tcBorders>
            <w:gridSpan w:val="7"/>
          </w:tcPr>
          <w:p>
            <w:pPr>
              <w:spacing w:after="0"/>
              <w:rPr>
                <w:sz w:val="4"/>
                <w:szCs w:val="4"/>
                <w:color w:val="auto"/>
              </w:rPr>
            </w:pPr>
          </w:p>
        </w:tc>
      </w:tr>
      <w:tr>
        <w:trPr>
          <w:trHeight w:val="217"/>
        </w:trPr>
        <w:tc>
          <w:tcPr>
            <w:tcW w:w="38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60" w:type="dxa"/>
            <w:vAlign w:val="bottom"/>
            <w:gridSpan w:val="9"/>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Amount of (Loss) Recognized in AOCI</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60" w:type="dxa"/>
            <w:vAlign w:val="bottom"/>
            <w:gridSpan w:val="7"/>
          </w:tcPr>
          <w:p>
            <w:pPr>
              <w:jc w:val="center"/>
              <w:ind w:right="154"/>
              <w:spacing w:after="0"/>
              <w:rPr>
                <w:sz w:val="20"/>
                <w:szCs w:val="20"/>
                <w:color w:val="auto"/>
              </w:rPr>
            </w:pPr>
            <w:r>
              <w:rPr>
                <w:rFonts w:ascii="Times New Roman" w:cs="Times New Roman" w:eastAsia="Times New Roman" w:hAnsi="Times New Roman"/>
                <w:sz w:val="16"/>
                <w:szCs w:val="16"/>
                <w:b w:val="1"/>
                <w:bCs w:val="1"/>
                <w:color w:val="auto"/>
              </w:rPr>
              <w:t>Amount of (Loss) Recognized in AOCI</w:t>
            </w:r>
          </w:p>
        </w:tc>
      </w:tr>
      <w:tr>
        <w:trPr>
          <w:trHeight w:val="47"/>
        </w:trPr>
        <w:tc>
          <w:tcPr>
            <w:tcW w:w="4100" w:type="dxa"/>
            <w:vAlign w:val="bottom"/>
            <w:tcBorders>
              <w:bottom w:val="single" w:sz="8" w:color="auto"/>
            </w:tcBorders>
            <w:gridSpan w:val="2"/>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17"/>
        </w:trPr>
        <w:tc>
          <w:tcPr>
            <w:tcW w:w="4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Net investment hedging relationships</w:t>
            </w:r>
          </w:p>
        </w:tc>
        <w:tc>
          <w:tcPr>
            <w:tcW w:w="280" w:type="dxa"/>
            <w:vAlign w:val="bottom"/>
          </w:tcPr>
          <w:p>
            <w:pPr>
              <w:spacing w:after="0"/>
              <w:rPr>
                <w:sz w:val="18"/>
                <w:szCs w:val="18"/>
                <w:color w:val="auto"/>
              </w:rPr>
            </w:pPr>
          </w:p>
        </w:tc>
        <w:tc>
          <w:tcPr>
            <w:tcW w:w="820" w:type="dxa"/>
            <w:vAlign w:val="bottom"/>
            <w:gridSpan w:val="2"/>
          </w:tcPr>
          <w:p>
            <w:pPr>
              <w:ind w:left="3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360" w:type="dxa"/>
            <w:vAlign w:val="bottom"/>
          </w:tcPr>
          <w:p>
            <w:pPr>
              <w:spacing w:after="0"/>
              <w:rPr>
                <w:sz w:val="18"/>
                <w:szCs w:val="18"/>
                <w:color w:val="auto"/>
              </w:rPr>
            </w:pPr>
          </w:p>
        </w:tc>
      </w:tr>
      <w:tr>
        <w:trPr>
          <w:trHeight w:val="47"/>
        </w:trPr>
        <w:tc>
          <w:tcPr>
            <w:tcW w:w="410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gridSpan w:val="3"/>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r>
      <w:tr>
        <w:trPr>
          <w:trHeight w:val="250"/>
        </w:trPr>
        <w:tc>
          <w:tcPr>
            <w:tcW w:w="42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38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tcPr>
          <w:p>
            <w:pPr>
              <w:spacing w:after="0"/>
              <w:rPr>
                <w:sz w:val="20"/>
                <w:szCs w:val="20"/>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3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Borrowings</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Credit Agreement</w:t>
      </w:r>
    </w:p>
    <w:p>
      <w:pPr>
        <w:spacing w:after="0" w:line="227"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On November 21, 2017, the Company and each of the Company’s wholly owned material domestic subsidiaries entered into a Credit Agreement with certain lenders, and Citibank, N.A. as Administrative Agent (the “Credit Agreement”). The Credit Agreement provides for a $200,000 revolving credit facility (the “Credit Facility”) with an option to increase the commitments by up to $100,000,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the Company exercised its option under the Credit Agreement to increase the commitments by $100,000 thereby utilizing the entire revolver under the Credit Facility of $300,000, to fund the SCIO acquisition. The incremental commitments were made pursuant to (and constitute part of) the existing commitments and shall be subject to the terms and conditions applicable to the existing commitments as set forth in the Credit Agreement.</w:t>
      </w:r>
    </w:p>
    <w:p>
      <w:pPr>
        <w:sectPr>
          <w:pgSz w:w="11900" w:h="16838" w:orient="portrait"/>
          <w:cols w:equalWidth="0" w:num="1">
            <w:col w:w="11420"/>
          </w:cols>
          <w:pgMar w:left="240" w:top="117"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17" w:right="239" w:bottom="1440" w:gutter="0" w:footer="0" w:header="0"/>
          <w:type w:val="continuous"/>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Depending on the type of borrowing, loans under the Credit Agreement bear interest at a rate equal to the specified prime rate (alternate base rate) or adjusted LIBO rate, plus, in each case, an applicable margin. The applicable margin is tied to the Company’s total net leverage ratio and ranges from 0% to 0.75% per annum with respect to loans pegged to the specified prime rate, and 1.00% to 1.75% per annum on loans pegged to the adjusted LIBO rate. The revolving credit commitments under the Credit Agreement are subject to a commitment fee, which is also tied to the Company’s total net leverage ratio, and ranges from 0.15% to 0.30% per annum on the average daily amount by which the aggregate revolving commitments exceed the sum of outstanding revolving loans and letter of credit obligations. The Credit Facility carried an effective interest rate of 4.1% per annum each during the three and nine months ended September 30, 2019, and 3.1% and 3.3% per annum during the three and nine months ended September 30, 2018, respectively.</w:t>
      </w:r>
    </w:p>
    <w:p>
      <w:pPr>
        <w:spacing w:after="0" w:line="185"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Obligations under the Credit Agreement are guaranteed by the Company’s material domestic subsidiaries and are secured by all or substantially all of the assets of the Company and our material domestic subsidiaries. The Credit Agreement contains customary affirmative and negative covenants, including, but not limited to, restrictions on the ability to incur indebtedness, create liens, make certain investments, make certain dividends and related distributions, enter into, or undertake, certain liquidations, mergers, consolidations or acquisitions and dispose of assets or subsidiaries. In addition, the Credit Agreement contains a covenant to not permit the interest coverage ratio (the ratio of EBITDA to cash interest expense) or the total net leverage ratio (total funded indebtedness, less unrestricted domestic cash and cash equivalents not to exceed $50,000 to EBITDA) for the four consecutive quarter period ending on the last day of each fiscal quarter, to be less than 3.5 to 1.0 or more than 3.0 to 1.0, respectively. As of September 30, 2019, the Company was in compliance with all financial and non-financial covenants listed under the Credit Agreement.</w:t>
      </w:r>
    </w:p>
    <w:p>
      <w:pPr>
        <w:spacing w:after="0" w:line="18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entered into a second amendment (the “Amendment”) to its Credit Agreement, as amended, among the Company, as borrower, with certain lenders, and Citibank, N.A. as Administrative Agent to, among other things, permit the issuance by the Company of the convertible notes, and settlement upon maturity or conversion thereof, in accordance with the Investment Agreement, the indenture dated as of October 4, 2018 and the other documents entered into in connection therewith.</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2019, the Company had outstanding indebtedness under the credit facility of $109,000, of which $20,000 is expected to be repaid within the next twelve months and is included under “current portion of long-term borrowings” and of which $89,000 is included under “long-term borrowings” in the unaudited consolidated balance sheets. As of December 31, 2018, the Company had an outstanding indebtedness under the credit facility of $150,000, of which $20,000 was included under “current portion of long-term borrowings,” and the balance of $130,000 was included under “long-term borrowings” in the consolidated balance sheets.</w:t>
      </w:r>
    </w:p>
    <w:p>
      <w:pPr>
        <w:spacing w:after="0" w:line="184"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incurred certain debt issuance costs, which are deferred and amortized as an adjustment to interest expense over the term of the credit facility. The unamortized debt issuance costs as of September 30, 2019 and December 31, 2018 was $813 and $1,006, respectively, and is included under "other current assets" and “other assets” in the unaudited consolidated balance sheets.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27"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1, 2018, the Company entered into an investment agreement (the “Investment Agreement”) with Orogen Echo LLC (the “Purchaser”), an affiliate of The Orogen Group LLC, relating to the issuance to the Purchaser of $150,000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three and nine months ended September 30, 2019, the Company recognized interest expense of $1,313 and $3,894, respectively. The Notes are convertible at an initial conversion rate of 13.3333 shares of the common stock per $1,000 principal amount of the Notes (which represents an initial conversion price of approximately $75 per share). With certain exceptions, upon a fundamental change, as defined in the Indenture, the holders of the Notes may require that the Company repurchase all or part of the principal amount of the Notes at a purchase price equal to the principal amount plus accrued and unpaid interest. The Company may redeem the principal amount of the Notes, at its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the Company’s exercise of this redemption right (including the trading day immediately prior to the date of the notice of redemption).The Company may elect to settle conversions of the Notes by paying or delivering, as the case may be, cash, shares of the Company’s common stock or a combination of cash</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17" w:right="23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shares of the Company’s common stock. The Company used the proceeds from the issuance of the Notes to repay $150,000 of its outstanding borrowings under the Credit Facility.</w:t>
      </w:r>
    </w:p>
    <w:p>
      <w:pPr>
        <w:spacing w:after="0" w:line="16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net proceeds from the issuance of the Notes were approximately $149,000, after deducting debt issuance costs of $1,000 and offering expenses of approximately $442 paid by the Company. These transaction and debt issuance costs were allocated between the liability and equity components based on their relative values. The transaction costs and debt issuance costs allocated to the liability and equity components were $1,279 and $163, respectively. The debt issuance costs allocated to the liability component are deferred and amortized as an adjustment to interest expense over the term of the Notes. The unamortized debt issuance costs is presented as a direct reduction from the Notes in the unaudited consolidated balance sheets. The unamortized debt issuance costs as of September 30, 2019 and December 31, 2018 was $1,071 and $1,127, respectively.</w:t>
      </w:r>
    </w:p>
    <w:p>
      <w:pPr>
        <w:spacing w:after="0" w:line="188"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The Company accounted for the liability and equity components of the Notes separately to reflect its non-convertible debt borrowing rate. The estimated fair value of the liability component at issuance of $133,077 was determined using a discounted cash flow technique, which considered debt issuances with similar features of the Company’s debt, excluding the conversion feature. The resulting effective interest rate for the Notes was 5.75% per annum. The excess of the gross proceeds received over the estimated fair value of the liability component totaling $16,923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 During the three and nine months ended September 30, 2019, the Company amortized $618 and $1,836, respectively, of the discount to interest expense. The unamortized debt discount as of September 30, 2019 and December 31, 2018 was $14,487 and $16,323, respectively. At the time of issuance, the Company evaluated the Notes in accordance with ASC 815-15 and determined that the Notes contain a single embedded derivative, being the call option having market interest rates as the underlying, which does not require bifurcation as the features clearly and closely related to the host instrument. The Company determined that the value of this embedded derivative was nominal as of the date of issuance.</w:t>
      </w:r>
    </w:p>
    <w:p>
      <w:pPr>
        <w:spacing w:after="0" w:line="19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Borrowings also includes structured payables which are in the nature of debt, amounting to $1,351 and $2,114 as of September 30, 2019 and December 31, 2018, respectively, of which $876 and $1,423 is included under "current portion of long-term borrowings", and $475 and $691, respectively, included under "long-term borrowings" in the unaudited consolidated balance sheets.</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Future principal payments/maturities for all of the Company's borrowings as of September 30, 2019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Structured</w:t>
            </w:r>
          </w:p>
        </w:tc>
        <w:tc>
          <w:tcPr>
            <w:tcW w:w="340" w:type="dxa"/>
            <w:vAlign w:val="bottom"/>
          </w:tcPr>
          <w:p>
            <w:pPr>
              <w:spacing w:after="0"/>
              <w:rPr>
                <w:sz w:val="18"/>
                <w:szCs w:val="18"/>
                <w:color w:val="auto"/>
              </w:rPr>
            </w:pPr>
          </w:p>
        </w:tc>
        <w:tc>
          <w:tcPr>
            <w:tcW w:w="114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30"/>
        </w:trPr>
        <w:tc>
          <w:tcPr>
            <w:tcW w:w="5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48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Revolver Credit</w:t>
            </w:r>
          </w:p>
        </w:tc>
        <w:tc>
          <w:tcPr>
            <w:tcW w:w="180" w:type="dxa"/>
            <w:vAlign w:val="bottom"/>
          </w:tcPr>
          <w:p>
            <w:pPr>
              <w:spacing w:after="0"/>
              <w:rPr>
                <w:sz w:val="11"/>
                <w:szCs w:val="11"/>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Payables</w:t>
            </w:r>
          </w:p>
        </w:tc>
        <w:tc>
          <w:tcPr>
            <w:tcW w:w="34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5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 (October - December)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5,658</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22,693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31,000</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30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51,000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and thereafter</w:t>
            </w: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260,351</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the Company provides standby letters of credit to third parties primarily for facility leases. As of September 30, 2019 and December 31, 2018, the Company had outstanding letters of credit of $461 and $nil, respectively, that were not recognized in the consolidated balance sheets.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Capital Structure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one class of common stock outstanding.</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17"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2019 and 2018, the Company did not acquire any shares of common stock from employees in connection with withholding tax payments related to the vesting of restricted stock.</w:t>
      </w:r>
    </w:p>
    <w:p>
      <w:pPr>
        <w:spacing w:after="0" w:line="162"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2019 and 2018, the Company acquired 22,666 and 45,646 shares of common stock, respectively, from employees in connection with withholding tax payments related to the vesting of restricted stock for a total consideration of $1,408 and $2,790, respectively. The weighted average purchase price per share of $62.11 and $61.12, respectively, was the average of the high and low price of the Company's share of common stock on the Nasdaq Global Select Market on the trading day prior to the vesting date of the shares of restricted stock.</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December 30, 2014, the Company’s Board of Directors authorized a common stock repurchase program (the “2014 Repurchase Program”), under which shares were authorized to be purchased by the Company from time to time from the open market and through private transactions during each of the fiscal years 2017 through 2019 up to an annual amount of $20,000.</w:t>
      </w:r>
    </w:p>
    <w:p>
      <w:pPr>
        <w:spacing w:after="0" w:line="176"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February 28, 2017, the Company’s Board of Directors authorized an additional common stock repurchase program (the “2017 Repurchase Program”), under which shares may be purchased by the Company from time to time from the open market and through private transactions during each of the fiscal years 2017 through 2019 up to an aggregate additional amount of $100,000. The approval increased the 2017 authorization from $20,000 to $40,000 and authorizes stock repurchases of up to $40,000 in each of 2018 and 2019.</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2019, the Company purchased 125,744 and 563,769 shares of its common stock, respectively, for an aggregate purchase price of approximately $8,346 and $34,476, respectively, including commissions, representing an average purchase price per share of $66.38 and $61.15, respectively, under the 2017 Repurchase Program.</w:t>
      </w:r>
    </w:p>
    <w:p>
      <w:pPr>
        <w:spacing w:after="0" w:line="176"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2018, the Company purchased 155,837 and 503,019 shares of its common stock, respectively, for an aggregate purchase price of approximately $9,657 and $30,003, respectively, including commissions, representing an average purchase price per share of $61.97 and $59.65, respectively, under the 2017 Repurchase Program.</w:t>
      </w:r>
    </w:p>
    <w:p>
      <w:pPr>
        <w:spacing w:after="0" w:line="17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Repurchased shares have been recorded as treasury shares and will be held until the Board of Directors designates that these shares be retired or used for other purposes.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Employee Benefit Plans</w:t>
      </w:r>
    </w:p>
    <w:p>
      <w:pPr>
        <w:spacing w:after="0" w:line="229"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Company’s Gratuity Plans in India ("Gratuity Plan") provide for lump sum payment to vested employees 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 are accrued in the year to which they relate. Actuarial gains or losses or prior service costs, if any, resulting from amendments to the plans are recognized and amortized over the remaining period of service of the employees.</w:t>
      </w:r>
    </w:p>
    <w:p>
      <w:pPr>
        <w:spacing w:after="0" w:line="184" w:lineRule="exact"/>
        <w:rPr>
          <w:sz w:val="20"/>
          <w:szCs w:val="20"/>
          <w:color w:val="auto"/>
        </w:rPr>
      </w:pPr>
    </w:p>
    <w:p>
      <w:pPr>
        <w:jc w:val="both"/>
        <w:ind w:right="20" w:firstLine="432"/>
        <w:spacing w:after="0" w:line="266" w:lineRule="auto"/>
        <w:rPr>
          <w:sz w:val="20"/>
          <w:szCs w:val="20"/>
          <w:color w:val="auto"/>
        </w:rPr>
      </w:pPr>
      <w:r>
        <w:rPr>
          <w:rFonts w:ascii="Times New Roman" w:cs="Times New Roman" w:eastAsia="Times New Roman" w:hAnsi="Times New Roman"/>
          <w:sz w:val="18"/>
          <w:szCs w:val="18"/>
          <w:color w:val="auto"/>
        </w:rPr>
        <w:t>In addition, the Company’s subsidiary operating in the Philippines conforms to the minimum regulatory benefit which provide for lump sum payment to vested employees on retirement from employment in an amount based on the respective employee’s salary and years of employment with the Company (the "Philippines Plan"). The benefit costs of the Philippines Plan for the year are calculated on an actuarial basis.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17"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Components of net periodic benefit cost:</w:t>
      </w:r>
    </w:p>
    <w:p>
      <w:pPr>
        <w:spacing w:after="0" w:line="232"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5380" w:type="dxa"/>
            <w:vAlign w:val="bottom"/>
          </w:tcPr>
          <w:p>
            <w:pPr>
              <w:spacing w:after="0"/>
              <w:rPr>
                <w:sz w:val="16"/>
                <w:szCs w:val="16"/>
                <w:color w:val="auto"/>
              </w:rPr>
            </w:pPr>
          </w:p>
        </w:tc>
        <w:tc>
          <w:tcPr>
            <w:tcW w:w="302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56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38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2019</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1,293</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94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659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526</w:t>
            </w:r>
          </w:p>
        </w:tc>
      </w:tr>
      <w:tr>
        <w:trPr>
          <w:trHeight w:val="27"/>
        </w:trPr>
        <w:tc>
          <w:tcPr>
            <w:tcW w:w="5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r>
      <w:tr>
        <w:trPr>
          <w:trHeight w:val="243"/>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actuarial gain</w:t>
            </w:r>
          </w:p>
        </w:tc>
        <w:tc>
          <w:tcPr>
            <w:tcW w:w="9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7"/>
        </w:trPr>
        <w:tc>
          <w:tcPr>
            <w:tcW w:w="53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gratuity cost</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1,580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1,346</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The Gratuity Plan in India is partially funded and the Philippines plan is unfunded. The Company makes annual contributions to the employees' gratuity fund established with Life Insurance Corporation of India and HDFC Standard Life Insurance Company. They calculate the annual contribution required to be made by the Company and manage the Gratuity Plans, including any required payouts. Fund managers manage these funds on a cash accumulation basis and declare interest retrospectively on March 31 of each year. The Company earned a return of approximately 7.8% per annum on these Gratuity Plans for the nine months ended September 30, 2019.</w:t>
      </w:r>
    </w:p>
    <w:p>
      <w:pPr>
        <w:spacing w:after="0" w:line="126" w:lineRule="exact"/>
        <w:rPr>
          <w:sz w:val="20"/>
          <w:szCs w:val="20"/>
          <w:color w:val="auto"/>
        </w:rPr>
      </w:pPr>
    </w:p>
    <w:tbl>
      <w:tblPr>
        <w:tblLayout w:type="fixed"/>
        <w:tblInd w:w="1040" w:type="dxa"/>
        <w:tblCellMar>
          <w:top w:w="0" w:type="dxa"/>
          <w:left w:w="0" w:type="dxa"/>
          <w:bottom w:w="0" w:type="dxa"/>
          <w:right w:w="0" w:type="dxa"/>
        </w:tblCellMar>
      </w:tblP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Plan Assets</w:t>
            </w:r>
          </w:p>
        </w:tc>
        <w:tc>
          <w:tcPr>
            <w:tcW w:w="6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 assets at January 1, 2019</w:t>
            </w: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7,420</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Actual return</w:t>
            </w:r>
          </w:p>
        </w:tc>
        <w:tc>
          <w:tcPr>
            <w:tcW w:w="62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w:t>
            </w:r>
          </w:p>
        </w:tc>
      </w:tr>
      <w:tr>
        <w:trPr>
          <w:trHeight w:val="27"/>
        </w:trPr>
        <w:tc>
          <w:tcPr>
            <w:tcW w:w="7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w:t>
            </w:r>
          </w:p>
        </w:tc>
        <w:tc>
          <w:tcPr>
            <w:tcW w:w="6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1,884</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r>
      <w:tr>
        <w:trPr>
          <w:trHeight w:val="27"/>
        </w:trPr>
        <w:tc>
          <w:tcPr>
            <w:tcW w:w="77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5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assets at September 30, 2019</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8,856</w:t>
            </w:r>
          </w:p>
        </w:tc>
      </w:tr>
      <w:tr>
        <w:trPr>
          <w:trHeight w:val="20"/>
        </w:trPr>
        <w:tc>
          <w:tcPr>
            <w:tcW w:w="7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*Benefit payments were substantially made through the plan assets during the nine months ended September 30, 2019.</w:t>
      </w:r>
    </w:p>
    <w:p>
      <w:pPr>
        <w:spacing w:after="0" w:line="227"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maintains several 401(k) plans (the "401(k) Plans") under Section 401(k) of the Internal Revenue Code of 1986 (the “Code”), covering all eligible employees, as defined in the Code as a defined contribution plan. The Company may make discretionary contributions of up to a maximum of 4% of employee compensation within certain limits. The Company accrued for contributions to the 401(k) Plans of $779 and $645 for the three months ended September 30, 2019 and 2018, respectively, and $2,901 and $2,630 for the nine months ended September 30, 2019 and 2018, respectively.</w:t>
      </w:r>
    </w:p>
    <w:p>
      <w:pPr>
        <w:spacing w:after="0" w:line="180"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and 2018, the Company contributed $2,793 and $2,003, respectively, and during the nine months ended September 30, 2019 and 2018, the Company contributed $7,507 and $5,670, respectively, for various defined contribution plans on behalf of its employees in India, the Philippines, Bulgaria, Romania, the Czech Republic, South Africa, Colombia, and Singapore.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Leases</w:t>
      </w:r>
    </w:p>
    <w:p>
      <w:pPr>
        <w:spacing w:after="0" w:line="121" w:lineRule="exact"/>
        <w:rPr>
          <w:sz w:val="20"/>
          <w:szCs w:val="20"/>
          <w:color w:val="auto"/>
        </w:rPr>
      </w:pPr>
    </w:p>
    <w:p>
      <w:pPr>
        <w:jc w:val="both"/>
        <w:ind w:right="20" w:firstLine="432"/>
        <w:spacing w:after="0" w:line="282" w:lineRule="auto"/>
        <w:rPr>
          <w:sz w:val="20"/>
          <w:szCs w:val="20"/>
          <w:color w:val="auto"/>
        </w:rPr>
      </w:pPr>
      <w:r>
        <w:rPr>
          <w:rFonts w:ascii="Times New Roman" w:cs="Times New Roman" w:eastAsia="Times New Roman" w:hAnsi="Times New Roman"/>
          <w:sz w:val="18"/>
          <w:szCs w:val="18"/>
          <w:color w:val="auto"/>
        </w:rPr>
        <w:t>The Company conducts its operations using facilities leased under operating lease agreements that expire at various dates. The Company finances its use of certain motor vehicles and other equipment under various lease arrangements provided by financial institutions.</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The Company has performed an evaluation of its contracts with suppliers in accordance with Topic 842 and has determined that, except for leases for office facilities, motor vehicles and other equipment as described above, none of the Company’s contracts contain a lease.</w:t>
      </w:r>
    </w:p>
    <w:p>
      <w:pPr>
        <w:spacing w:after="0" w:line="54"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In assessment of the lease term, the Company considers the extension option as part of its lease term for those lease arrangements where the Company is reasonably certain of availing the extension option.</w:t>
      </w:r>
    </w:p>
    <w:p>
      <w:pPr>
        <w:spacing w:after="0" w:line="54"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lease agreements do not contain any covenant to impose any restrictions except for market-standard practice for similar lease arrangements.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17"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Supplemental balance sheet information</w:t>
      </w:r>
    </w:p>
    <w:p>
      <w:pPr>
        <w:spacing w:after="0" w:line="299" w:lineRule="exact"/>
        <w:rPr>
          <w:sz w:val="20"/>
          <w:szCs w:val="20"/>
          <w:color w:val="auto"/>
        </w:rPr>
      </w:pPr>
    </w:p>
    <w:tbl>
      <w:tblPr>
        <w:tblLayout w:type="fixed"/>
        <w:tblInd w:w="280" w:type="dxa"/>
        <w:tblCellMar>
          <w:top w:w="0" w:type="dxa"/>
          <w:left w:w="0" w:type="dxa"/>
          <w:bottom w:w="0" w:type="dxa"/>
          <w:right w:w="0" w:type="dxa"/>
        </w:tblCellMar>
      </w:tblPr>
      <w:tr>
        <w:trPr>
          <w:trHeight w:val="212"/>
        </w:trPr>
        <w:tc>
          <w:tcPr>
            <w:tcW w:w="8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00" w:type="dxa"/>
            <w:vAlign w:val="bottom"/>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As of</w:t>
            </w:r>
          </w:p>
        </w:tc>
      </w:tr>
      <w:tr>
        <w:trPr>
          <w:trHeight w:val="270"/>
        </w:trPr>
        <w:tc>
          <w:tcPr>
            <w:tcW w:w="87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900" w:type="dxa"/>
            <w:vAlign w:val="bottom"/>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04"/>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w:t>
            </w:r>
          </w:p>
        </w:tc>
        <w:tc>
          <w:tcPr>
            <w:tcW w:w="2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r>
      <w:tr>
        <w:trPr>
          <w:trHeight w:val="60"/>
        </w:trPr>
        <w:tc>
          <w:tcPr>
            <w:tcW w:w="87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900" w:type="dxa"/>
            <w:vAlign w:val="bottom"/>
            <w:shd w:val="clear" w:color="auto" w:fill="CCEEFF"/>
          </w:tcPr>
          <w:p>
            <w:pPr>
              <w:spacing w:after="0"/>
              <w:rPr>
                <w:sz w:val="5"/>
                <w:szCs w:val="5"/>
                <w:color w:val="auto"/>
              </w:rPr>
            </w:pP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88,753</w:t>
            </w:r>
          </w:p>
        </w:tc>
      </w:tr>
      <w:tr>
        <w:trPr>
          <w:trHeight w:val="33"/>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318"/>
        </w:trPr>
        <w:tc>
          <w:tcPr>
            <w:tcW w:w="87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Current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23,516</w:t>
            </w:r>
          </w:p>
        </w:tc>
      </w:tr>
      <w:tr>
        <w:trPr>
          <w:trHeight w:val="33"/>
        </w:trPr>
        <w:tc>
          <w:tcPr>
            <w:tcW w:w="8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260" w:type="dxa"/>
            <w:vAlign w:val="bottom"/>
            <w:tcBorders>
              <w:bottom w:val="single" w:sz="8" w:color="CCEEFF"/>
            </w:tcBorders>
            <w:shd w:val="clear" w:color="auto" w:fill="CCEEFF"/>
          </w:tcPr>
          <w:p>
            <w:pPr>
              <w:spacing w:after="0"/>
              <w:rPr>
                <w:sz w:val="22"/>
                <w:szCs w:val="22"/>
                <w:color w:val="auto"/>
              </w:rPr>
            </w:pP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76,080</w:t>
            </w:r>
          </w:p>
        </w:tc>
      </w:tr>
      <w:tr>
        <w:trPr>
          <w:trHeight w:val="217"/>
        </w:trPr>
        <w:tc>
          <w:tcPr>
            <w:tcW w:w="87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Total operating lease liabilities</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99,596</w:t>
            </w:r>
          </w:p>
        </w:tc>
      </w:tr>
      <w:tr>
        <w:trPr>
          <w:trHeight w:val="33"/>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87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900" w:type="dxa"/>
            <w:vAlign w:val="bottom"/>
            <w:shd w:val="clear" w:color="auto" w:fill="CCEEFF"/>
          </w:tcPr>
          <w:p>
            <w:pPr>
              <w:spacing w:after="0"/>
              <w:rPr>
                <w:sz w:val="22"/>
                <w:szCs w:val="22"/>
                <w:color w:val="auto"/>
              </w:rPr>
            </w:pP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260" w:type="dxa"/>
            <w:vAlign w:val="bottom"/>
          </w:tcPr>
          <w:p>
            <w:pPr>
              <w:spacing w:after="0"/>
              <w:rPr>
                <w:sz w:val="19"/>
                <w:szCs w:val="19"/>
                <w:color w:val="auto"/>
              </w:rPr>
            </w:pPr>
          </w:p>
        </w:tc>
        <w:tc>
          <w:tcPr>
            <w:tcW w:w="1900" w:type="dxa"/>
            <w:vAlign w:val="bottom"/>
          </w:tcPr>
          <w:p>
            <w:pPr>
              <w:spacing w:after="0"/>
              <w:rPr>
                <w:sz w:val="19"/>
                <w:szCs w:val="19"/>
                <w:color w:val="auto"/>
              </w:rPr>
            </w:pPr>
          </w:p>
        </w:tc>
      </w:tr>
      <w:tr>
        <w:trPr>
          <w:trHeight w:val="47"/>
        </w:trPr>
        <w:tc>
          <w:tcPr>
            <w:tcW w:w="8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900" w:type="dxa"/>
            <w:vAlign w:val="bottom"/>
          </w:tcPr>
          <w:p>
            <w:pPr>
              <w:spacing w:after="0"/>
              <w:rPr>
                <w:sz w:val="4"/>
                <w:szCs w:val="4"/>
                <w:color w:val="auto"/>
              </w:rPr>
            </w:pP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and equipment, gross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1,755</w:t>
            </w: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33"/>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8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643</w:t>
            </w:r>
          </w:p>
        </w:tc>
      </w:tr>
      <w:tr>
        <w:trPr>
          <w:trHeight w:val="264"/>
        </w:trPr>
        <w:tc>
          <w:tcPr>
            <w:tcW w:w="87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900" w:type="dxa"/>
            <w:vAlign w:val="bottom"/>
            <w:tcBorders>
              <w:top w:val="single" w:sz="8" w:color="auto"/>
            </w:tcBorders>
          </w:tcPr>
          <w:p>
            <w:pPr>
              <w:spacing w:after="0"/>
              <w:rPr>
                <w:sz w:val="22"/>
                <w:szCs w:val="22"/>
                <w:color w:val="auto"/>
              </w:rPr>
            </w:pPr>
          </w:p>
        </w:tc>
      </w:tr>
      <w:tr>
        <w:trPr>
          <w:trHeight w:val="237"/>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Current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248</w:t>
            </w:r>
          </w:p>
        </w:tc>
      </w:tr>
      <w:tr>
        <w:trPr>
          <w:trHeight w:val="224"/>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260" w:type="dxa"/>
            <w:vAlign w:val="bottom"/>
          </w:tcPr>
          <w:p>
            <w:pPr>
              <w:spacing w:after="0"/>
              <w:rPr>
                <w:sz w:val="19"/>
                <w:szCs w:val="19"/>
                <w:color w:val="auto"/>
              </w:rPr>
            </w:pPr>
          </w:p>
        </w:tc>
        <w:tc>
          <w:tcPr>
            <w:tcW w:w="1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436</w:t>
            </w:r>
          </w:p>
        </w:tc>
      </w:tr>
      <w:tr>
        <w:trPr>
          <w:trHeight w:val="33"/>
        </w:trPr>
        <w:tc>
          <w:tcPr>
            <w:tcW w:w="8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5"/>
        </w:trPr>
        <w:tc>
          <w:tcPr>
            <w:tcW w:w="8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finance lease liabilities</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684</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2019, the Company performed an impairment test of its long-lived assets of its Health Integrated business. Based on the results, the operating lease right-of-use assets carrying value exceeded their fair value. The primary factor contributing to a reduction in the fair value is the commencement of the wind down of the Health Integrated business, and an anticipated reduction to the Company's estimated future cash flows. As a result of this analysis, the Company recognized an impairment charge of $nil and $989 during the three and nine months ended September 30, 2019, respectively, to write down the carrying value of operating lease right-of-use to its fair value. This impairment charge was recorded in the unaudited consolidated statements of income under "Impairment and restructuring charges". Refer Note 24 to the unaudited consolidated financial statements for further details.</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which are included in the Company's unaudited consolidated statements of income, are as follows:</w:t>
      </w:r>
    </w:p>
    <w:p>
      <w:pPr>
        <w:spacing w:after="0" w:line="280" w:lineRule="exact"/>
        <w:rPr>
          <w:sz w:val="20"/>
          <w:szCs w:val="20"/>
          <w:color w:val="auto"/>
        </w:rPr>
      </w:pPr>
    </w:p>
    <w:tbl>
      <w:tblPr>
        <w:tblLayout w:type="fixed"/>
        <w:tblInd w:w="320" w:type="dxa"/>
        <w:tblCellMar>
          <w:top w:w="0" w:type="dxa"/>
          <w:left w:w="0" w:type="dxa"/>
          <w:bottom w:w="0" w:type="dxa"/>
          <w:right w:w="0" w:type="dxa"/>
        </w:tblCellMar>
      </w:tblPr>
      <w:tr>
        <w:trPr>
          <w:trHeight w:val="205"/>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Lease cost</w:t>
            </w:r>
          </w:p>
        </w:tc>
        <w:tc>
          <w:tcPr>
            <w:tcW w:w="240" w:type="dxa"/>
            <w:vAlign w:val="bottom"/>
          </w:tcPr>
          <w:p>
            <w:pPr>
              <w:spacing w:after="0"/>
              <w:rPr>
                <w:sz w:val="17"/>
                <w:szCs w:val="17"/>
                <w:color w:val="auto"/>
              </w:rPr>
            </w:pPr>
          </w:p>
        </w:tc>
        <w:tc>
          <w:tcPr>
            <w:tcW w:w="204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7"/>
                <w:szCs w:val="17"/>
                <w:color w:val="auto"/>
              </w:rPr>
            </w:pPr>
          </w:p>
        </w:tc>
        <w:tc>
          <w:tcPr>
            <w:tcW w:w="1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6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4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tcPr>
          <w:p>
            <w:pPr>
              <w:spacing w:after="0"/>
              <w:rPr>
                <w:sz w:val="18"/>
                <w:szCs w:val="18"/>
                <w:color w:val="auto"/>
              </w:rPr>
            </w:pPr>
          </w:p>
        </w:tc>
        <w:tc>
          <w:tcPr>
            <w:tcW w:w="182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6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4"/>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lease:</w:t>
            </w:r>
          </w:p>
        </w:tc>
        <w:tc>
          <w:tcPr>
            <w:tcW w:w="24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r>
      <w:tr>
        <w:trPr>
          <w:trHeight w:val="60"/>
        </w:trPr>
        <w:tc>
          <w:tcPr>
            <w:tcW w:w="64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19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820" w:type="dxa"/>
            <w:vAlign w:val="bottom"/>
            <w:shd w:val="clear" w:color="auto" w:fill="CCEEFF"/>
          </w:tcPr>
          <w:p>
            <w:pPr>
              <w:spacing w:after="0"/>
              <w:rPr>
                <w:sz w:val="5"/>
                <w:szCs w:val="5"/>
                <w:color w:val="auto"/>
              </w:rPr>
            </w:pPr>
          </w:p>
        </w:tc>
      </w:tr>
      <w:tr>
        <w:trPr>
          <w:trHeight w:val="237"/>
        </w:trPr>
        <w:tc>
          <w:tcPr>
            <w:tcW w:w="64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Amortization of right-of-use assets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198</w:t>
            </w:r>
          </w:p>
        </w:tc>
      </w:tr>
      <w:tr>
        <w:trPr>
          <w:trHeight w:val="33"/>
        </w:trPr>
        <w:tc>
          <w:tcPr>
            <w:tcW w:w="6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64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r>
      <w:tr>
        <w:trPr>
          <w:trHeight w:val="270"/>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lease</w:t>
            </w:r>
            <w:r>
              <w:rPr>
                <w:rFonts w:ascii="Times New Roman" w:cs="Times New Roman" w:eastAsia="Times New Roman" w:hAnsi="Times New Roman"/>
                <w:sz w:val="21"/>
                <w:szCs w:val="21"/>
                <w:b w:val="1"/>
                <w:bCs w:val="1"/>
                <w:color w:val="auto"/>
                <w:vertAlign w:val="superscript"/>
              </w:rPr>
              <w:t>(a)</w:t>
            </w:r>
          </w:p>
        </w:tc>
        <w:tc>
          <w:tcPr>
            <w:tcW w:w="240" w:type="dxa"/>
            <w:vAlign w:val="bottom"/>
          </w:tcPr>
          <w:p>
            <w:pPr>
              <w:spacing w:after="0"/>
              <w:rPr>
                <w:sz w:val="23"/>
                <w:szCs w:val="23"/>
                <w:color w:val="auto"/>
              </w:rPr>
            </w:pPr>
          </w:p>
        </w:tc>
        <w:tc>
          <w:tcPr>
            <w:tcW w:w="19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6,843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20,544</w:t>
            </w:r>
          </w:p>
        </w:tc>
      </w:tr>
      <w:tr>
        <w:trPr>
          <w:trHeight w:val="270"/>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Sublease income</w:t>
            </w:r>
          </w:p>
        </w:tc>
        <w:tc>
          <w:tcPr>
            <w:tcW w:w="2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r>
      <w:tr>
        <w:trPr>
          <w:trHeight w:val="244"/>
        </w:trPr>
        <w:tc>
          <w:tcPr>
            <w:tcW w:w="6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lease cost</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9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6,908</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20,679</w:t>
            </w:r>
          </w:p>
        </w:tc>
      </w:tr>
      <w:tr>
        <w:trPr>
          <w:trHeight w:val="20"/>
        </w:trPr>
        <w:tc>
          <w:tcPr>
            <w:tcW w:w="6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Operating lease cost for leases classified as such under Topic 840 for the three and nine months ended September 30, 2018 was $6,596 and $19,075, respectively.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Includes short-term leases, which are immaterial.</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17" w:right="23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Supplemental cash flow and other information related to leases are as follows:</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03"/>
        </w:trPr>
        <w:tc>
          <w:tcPr>
            <w:tcW w:w="8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2"/>
        </w:trPr>
        <w:tc>
          <w:tcPr>
            <w:tcW w:w="8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33"/>
        </w:trPr>
        <w:tc>
          <w:tcPr>
            <w:tcW w:w="8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04"/>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payments for amounts included in the measurement of lease liabilities :</w:t>
            </w:r>
          </w:p>
        </w:tc>
        <w:tc>
          <w:tcPr>
            <w:tcW w:w="20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r>
      <w:tr>
        <w:trPr>
          <w:trHeight w:val="60"/>
        </w:trPr>
        <w:tc>
          <w:tcPr>
            <w:tcW w:w="8560" w:type="dxa"/>
            <w:vAlign w:val="bottom"/>
            <w:shd w:val="clear" w:color="auto" w:fill="CCEEFF"/>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1740" w:type="dxa"/>
            <w:vAlign w:val="bottom"/>
            <w:shd w:val="clear" w:color="auto" w:fill="CCEEFF"/>
          </w:tcPr>
          <w:p>
            <w:pPr>
              <w:spacing w:after="0"/>
              <w:rPr>
                <w:sz w:val="5"/>
                <w:szCs w:val="5"/>
                <w:color w:val="auto"/>
              </w:rPr>
            </w:pPr>
          </w:p>
        </w:tc>
      </w:tr>
      <w:tr>
        <w:trPr>
          <w:trHeight w:val="224"/>
        </w:trPr>
        <w:tc>
          <w:tcPr>
            <w:tcW w:w="8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cash outflows for operating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19,428</w:t>
            </w:r>
          </w:p>
        </w:tc>
      </w:tr>
      <w:tr>
        <w:trPr>
          <w:trHeight w:val="33"/>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cash outflows for finance leases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71</w:t>
            </w:r>
          </w:p>
        </w:tc>
      </w:tr>
      <w:tr>
        <w:trPr>
          <w:trHeight w:val="224"/>
        </w:trPr>
        <w:tc>
          <w:tcPr>
            <w:tcW w:w="8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Financing cash outflows for finance leases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274</w:t>
            </w:r>
          </w:p>
        </w:tc>
      </w:tr>
      <w:tr>
        <w:trPr>
          <w:trHeight w:val="33"/>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operating lease liabilities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31,189</w:t>
            </w:r>
          </w:p>
        </w:tc>
      </w:tr>
      <w:tr>
        <w:trPr>
          <w:trHeight w:val="22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Right-of-use assets obtained in exchange for new finance lease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24"/>
        </w:trPr>
        <w:tc>
          <w:tcPr>
            <w:tcW w:w="8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Finance lease</w:t>
            </w:r>
          </w:p>
        </w:tc>
        <w:tc>
          <w:tcPr>
            <w:tcW w:w="200" w:type="dxa"/>
            <w:vAlign w:val="bottom"/>
          </w:tcPr>
          <w:p>
            <w:pPr>
              <w:spacing w:after="0"/>
              <w:rPr>
                <w:sz w:val="19"/>
                <w:szCs w:val="19"/>
                <w:color w:val="auto"/>
              </w:rPr>
            </w:pPr>
          </w:p>
        </w:tc>
        <w:tc>
          <w:tcPr>
            <w:tcW w:w="17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2.3 years</w:t>
            </w:r>
          </w:p>
        </w:tc>
      </w:tr>
      <w:tr>
        <w:trPr>
          <w:trHeight w:val="33"/>
        </w:trPr>
        <w:tc>
          <w:tcPr>
            <w:tcW w:w="8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Operating lease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5.9 years</w:t>
            </w:r>
          </w:p>
        </w:tc>
      </w:tr>
      <w:tr>
        <w:trPr>
          <w:trHeight w:val="224"/>
        </w:trPr>
        <w:tc>
          <w:tcPr>
            <w:tcW w:w="8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2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7"/>
        </w:trPr>
        <w:tc>
          <w:tcPr>
            <w:tcW w:w="8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40" w:type="dxa"/>
            <w:vAlign w:val="bottom"/>
          </w:tcPr>
          <w:p>
            <w:pPr>
              <w:spacing w:after="0"/>
              <w:rPr>
                <w:sz w:val="4"/>
                <w:szCs w:val="4"/>
                <w:color w:val="auto"/>
              </w:rPr>
            </w:pPr>
          </w:p>
        </w:tc>
      </w:tr>
      <w:tr>
        <w:trPr>
          <w:trHeight w:val="237"/>
        </w:trPr>
        <w:tc>
          <w:tcPr>
            <w:tcW w:w="85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Finance lease</w:t>
            </w:r>
          </w:p>
        </w:tc>
        <w:tc>
          <w:tcPr>
            <w:tcW w:w="20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24"/>
        </w:trPr>
        <w:tc>
          <w:tcPr>
            <w:tcW w:w="85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lease</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bl>
    <w:p>
      <w:pPr>
        <w:spacing w:after="0" w:line="200" w:lineRule="exact"/>
        <w:rPr>
          <w:sz w:val="20"/>
          <w:szCs w:val="20"/>
          <w:color w:val="auto"/>
        </w:rPr>
      </w:pPr>
    </w:p>
    <w:p>
      <w:pPr>
        <w:spacing w:after="0" w:line="247"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Company determines the incremental borrowing rate by adjusting the benchmark reference rates, applicable to the respective geographies where the leases were entered, with appropriate financing spreads and lease specific adjustments for the effects of collateral.</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Maturities of lease liabilities as of September 30, 2019 are as follows:</w:t>
      </w:r>
    </w:p>
    <w:p>
      <w:pPr>
        <w:spacing w:after="0" w:line="191" w:lineRule="exact"/>
        <w:rPr>
          <w:sz w:val="20"/>
          <w:szCs w:val="20"/>
          <w:color w:val="auto"/>
        </w:rPr>
      </w:pPr>
    </w:p>
    <w:tbl>
      <w:tblPr>
        <w:tblLayout w:type="fixed"/>
        <w:tblInd w:w="42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18"/>
                <w:szCs w:val="18"/>
                <w:color w:val="auto"/>
              </w:rPr>
            </w:pPr>
          </w:p>
        </w:tc>
        <w:tc>
          <w:tcPr>
            <w:tcW w:w="15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Finance Leases</w:t>
            </w:r>
          </w:p>
        </w:tc>
      </w:tr>
      <w:tr>
        <w:trPr>
          <w:trHeight w:val="33"/>
        </w:trPr>
        <w:tc>
          <w:tcPr>
            <w:tcW w:w="6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 (October 1 - December 31)</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6,425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109</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25,436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304</w:t>
            </w:r>
          </w:p>
        </w:tc>
      </w:tr>
      <w:tr>
        <w:trPr>
          <w:trHeight w:val="33"/>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22,584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20,481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w:t>
            </w:r>
          </w:p>
        </w:tc>
      </w:tr>
      <w:tr>
        <w:trPr>
          <w:trHeight w:val="33"/>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r>
      <w:tr>
        <w:trPr>
          <w:trHeight w:val="23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00" w:type="dxa"/>
            <w:vAlign w:val="bottom"/>
          </w:tcPr>
          <w:p>
            <w:pPr>
              <w:spacing w:after="0"/>
              <w:rPr>
                <w:sz w:val="20"/>
                <w:szCs w:val="20"/>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13,960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w:t>
            </w:r>
          </w:p>
        </w:tc>
      </w:tr>
      <w:tr>
        <w:trPr>
          <w:trHeight w:val="33"/>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and thereafter</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23,020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lease payments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130,329</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839</w:t>
            </w:r>
          </w:p>
        </w:tc>
      </w:tr>
      <w:tr>
        <w:trPr>
          <w:trHeight w:val="33"/>
        </w:trPr>
        <w:tc>
          <w:tcPr>
            <w:tcW w:w="6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30,733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r>
      <w:tr>
        <w:trPr>
          <w:trHeight w:val="217"/>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99,596</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684</w:t>
            </w:r>
          </w:p>
        </w:tc>
      </w:tr>
      <w:tr>
        <w:trPr>
          <w:trHeight w:val="33"/>
        </w:trPr>
        <w:tc>
          <w:tcPr>
            <w:tcW w:w="68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17" w:right="23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Maturities of minimum lease payments as of December 31, 2018 are as follows:</w:t>
      </w:r>
    </w:p>
    <w:p>
      <w:pPr>
        <w:spacing w:after="0" w:line="178" w:lineRule="exact"/>
        <w:rPr>
          <w:sz w:val="20"/>
          <w:szCs w:val="20"/>
          <w:color w:val="auto"/>
        </w:rPr>
      </w:pPr>
    </w:p>
    <w:tbl>
      <w:tblPr>
        <w:tblLayout w:type="fixed"/>
        <w:tblInd w:w="420" w:type="dxa"/>
        <w:tblCellMar>
          <w:top w:w="0" w:type="dxa"/>
          <w:left w:w="0" w:type="dxa"/>
          <w:bottom w:w="0" w:type="dxa"/>
          <w:right w:w="0" w:type="dxa"/>
        </w:tblCellMar>
      </w:tblPr>
      <w:tr>
        <w:trPr>
          <w:trHeight w:val="226"/>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During the next twelve months ending December 31,</w:t>
            </w:r>
          </w:p>
        </w:tc>
        <w:tc>
          <w:tcPr>
            <w:tcW w:w="240" w:type="dxa"/>
            <w:vAlign w:val="bottom"/>
          </w:tcPr>
          <w:p>
            <w:pPr>
              <w:spacing w:after="0"/>
              <w:rPr>
                <w:sz w:val="19"/>
                <w:szCs w:val="19"/>
                <w:color w:val="auto"/>
              </w:rPr>
            </w:pPr>
          </w:p>
        </w:tc>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Operating Leases</w:t>
            </w:r>
          </w:p>
        </w:tc>
        <w:tc>
          <w:tcPr>
            <w:tcW w:w="240" w:type="dxa"/>
            <w:vAlign w:val="bottom"/>
          </w:tcPr>
          <w:p>
            <w:pPr>
              <w:spacing w:after="0"/>
              <w:rPr>
                <w:sz w:val="19"/>
                <w:szCs w:val="19"/>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Capital Leases</w:t>
            </w:r>
          </w:p>
        </w:tc>
      </w:tr>
      <w:tr>
        <w:trPr>
          <w:trHeight w:val="33"/>
        </w:trPr>
        <w:tc>
          <w:tcPr>
            <w:tcW w:w="66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23,431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4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20,039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163</w:t>
            </w:r>
          </w:p>
        </w:tc>
      </w:tr>
      <w:tr>
        <w:trPr>
          <w:trHeight w:val="33"/>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16,924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4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14,804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w:t>
            </w:r>
          </w:p>
        </w:tc>
      </w:tr>
      <w:tr>
        <w:trPr>
          <w:trHeight w:val="33"/>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4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w:t>
            </w:r>
          </w:p>
        </w:tc>
      </w:tr>
      <w:tr>
        <w:trPr>
          <w:trHeight w:val="23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4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11,114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2025 and thereafter</w:t>
            </w:r>
          </w:p>
        </w:tc>
        <w:tc>
          <w:tcPr>
            <w:tcW w:w="24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minimum lease payment</w:t>
            </w: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7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114,171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673</w:t>
            </w:r>
          </w:p>
        </w:tc>
      </w:tr>
      <w:tr>
        <w:trPr>
          <w:trHeight w:val="33"/>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Imputed interest</w:t>
            </w: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w:t>
            </w:r>
          </w:p>
        </w:tc>
      </w:tr>
      <w:tr>
        <w:trPr>
          <w:trHeight w:val="21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Present value of minimum lease payments</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538</w:t>
            </w:r>
          </w:p>
        </w:tc>
      </w:tr>
      <w:tr>
        <w:trPr>
          <w:trHeight w:val="33"/>
        </w:trPr>
        <w:tc>
          <w:tcPr>
            <w:tcW w:w="6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portion</w:t>
            </w:r>
          </w:p>
        </w:tc>
        <w:tc>
          <w:tcPr>
            <w:tcW w:w="24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gridSpan w:val="2"/>
            <w:shd w:val="clear" w:color="auto" w:fill="CCEEFF"/>
          </w:tcPr>
          <w:p>
            <w:pPr>
              <w:ind w:left="1420"/>
              <w:spacing w:after="0"/>
              <w:rPr>
                <w:sz w:val="20"/>
                <w:szCs w:val="20"/>
                <w:color w:val="auto"/>
              </w:rPr>
            </w:pPr>
            <w:r>
              <w:rPr>
                <w:rFonts w:ascii="Times New Roman" w:cs="Times New Roman" w:eastAsia="Times New Roman" w:hAnsi="Times New Roman"/>
                <w:sz w:val="16"/>
                <w:szCs w:val="16"/>
                <w:color w:val="auto"/>
              </w:rPr>
              <w:t>NA</w:t>
            </w:r>
          </w:p>
        </w:tc>
        <w:tc>
          <w:tcPr>
            <w:tcW w:w="2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r>
      <w:tr>
        <w:trPr>
          <w:trHeight w:val="217"/>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capital lease obligation</w:t>
            </w: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420"/>
              <w:spacing w:after="0"/>
              <w:rPr>
                <w:sz w:val="20"/>
                <w:szCs w:val="20"/>
                <w:color w:val="auto"/>
              </w:rPr>
            </w:pPr>
            <w:r>
              <w:rPr>
                <w:rFonts w:ascii="Times New Roman" w:cs="Times New Roman" w:eastAsia="Times New Roman" w:hAnsi="Times New Roman"/>
                <w:sz w:val="16"/>
                <w:szCs w:val="16"/>
                <w:color w:val="auto"/>
              </w:rPr>
              <w:t>NA</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r>
      <w:tr>
        <w:trPr>
          <w:trHeight w:val="33"/>
        </w:trPr>
        <w:tc>
          <w:tcPr>
            <w:tcW w:w="6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0"/>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Income Taxes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annual effective tax rate, and if its estimated tax rate changes, the Company makes a cumulative adjustment.</w:t>
      </w:r>
    </w:p>
    <w:p>
      <w:pPr>
        <w:spacing w:after="0" w:line="6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recorded income tax expense of $5,701 and $5,739 for the three months ended September 30, 2019 and 2018, respectively. The effective tax rate decreased from 27.3% during the three months ended September 30, 2018 to 23.0% during the three months ended September 30, 2019, primarily due to the benefits from higher tax incentives in India and the U.S., and lower tax rates for qualifying Indian subsidiaries, offset by lower excess tax benefit during the three months ended September 30, 2019.</w:t>
      </w:r>
    </w:p>
    <w:p>
      <w:pPr>
        <w:spacing w:after="0" w:line="72"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The Company recorded income tax expense of $12,571 and $6,796 for the nine months ended September 30, 2019 and 2018, respectively. The effective tax rate increased from 11.4% during the nine months ended September 30, 2018 to 21.3% during the nine months ended September 30, 2019, primarily as a result of (i) an adjustment of $4,836 reducing the provisional transition tax on the mandatory deemed repatriation of accumulated earnings and profits ("E&amp;P") of foreign subsidiaries recognized during the nine months ended September 30, 2018 and (ii) the recording of excess tax benefits related to stock awards of $5,438 pursuant to ASU No. 2016-09 during the nine months ended September 30, 2018 compared to $1,094 during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Stock-Based Compensation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costs related to the Company’s stock-based compensation plans are included in the unaudited consolidated statements of income:</w:t>
      </w:r>
    </w:p>
    <w:p>
      <w:pPr>
        <w:spacing w:after="0" w:line="232"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5240" w:type="dxa"/>
            <w:vAlign w:val="bottom"/>
          </w:tcPr>
          <w:p>
            <w:pPr>
              <w:spacing w:after="0"/>
              <w:rPr>
                <w:sz w:val="16"/>
                <w:szCs w:val="16"/>
                <w:color w:val="auto"/>
              </w:rPr>
            </w:pPr>
          </w:p>
        </w:tc>
        <w:tc>
          <w:tcPr>
            <w:tcW w:w="294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20" w:type="dxa"/>
            <w:vAlign w:val="bottom"/>
            <w:gridSpan w:val="4"/>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5240" w:type="dxa"/>
            <w:vAlign w:val="bottom"/>
            <w:tcBorders>
              <w:bottom w:val="single" w:sz="8" w:color="CCEEFF"/>
            </w:tcBorders>
          </w:tcPr>
          <w:p>
            <w:pPr>
              <w:spacing w:after="0"/>
              <w:rPr>
                <w:sz w:val="22"/>
                <w:szCs w:val="22"/>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1,573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4,537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3,579</w:t>
            </w:r>
          </w:p>
        </w:tc>
      </w:tr>
      <w:tr>
        <w:trPr>
          <w:trHeight w:val="24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2,957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8,713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7,536</w:t>
            </w:r>
          </w:p>
        </w:tc>
      </w:tr>
      <w:tr>
        <w:trPr>
          <w:trHeight w:val="27"/>
        </w:trPr>
        <w:tc>
          <w:tcPr>
            <w:tcW w:w="5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8"/>
              </w:rPr>
              <w:t>2,897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2,041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8,288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6,196</w:t>
            </w:r>
          </w:p>
        </w:tc>
      </w:tr>
      <w:tr>
        <w:trPr>
          <w:trHeight w:val="23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7,427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21,538</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17,311</w:t>
            </w:r>
          </w:p>
        </w:tc>
      </w:tr>
      <w:tr>
        <w:trPr>
          <w:trHeight w:val="27"/>
        </w:trPr>
        <w:tc>
          <w:tcPr>
            <w:tcW w:w="52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2019, the Company had 2,696,200 shares available for grant under the 2018 Omnibus Incentive Plan.</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117" w:right="239" w:bottom="1440" w:gutter="0" w:footer="0" w:header="0"/>
          <w:type w:val="continuous"/>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Stock option activity under the Company’s stock-based compensation plans is shown below:</w:t>
      </w:r>
    </w:p>
    <w:p>
      <w:pPr>
        <w:spacing w:after="0" w:line="152"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20" w:type="dxa"/>
            <w:vAlign w:val="bottom"/>
          </w:tcPr>
          <w:p>
            <w:pPr>
              <w:spacing w:after="0"/>
              <w:rPr>
                <w:sz w:val="13"/>
                <w:szCs w:val="13"/>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13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36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2"/>
            <w:vMerge w:val="restart"/>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220" w:type="dxa"/>
            <w:vAlign w:val="bottom"/>
          </w:tcPr>
          <w:p>
            <w:pPr>
              <w:spacing w:after="0"/>
              <w:rPr>
                <w:sz w:val="7"/>
                <w:szCs w:val="7"/>
                <w:color w:val="auto"/>
              </w:rPr>
            </w:pPr>
          </w:p>
        </w:tc>
        <w:tc>
          <w:tcPr>
            <w:tcW w:w="1160" w:type="dxa"/>
            <w:vAlign w:val="bottom"/>
            <w:gridSpan w:val="2"/>
            <w:vMerge w:val="restart"/>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5120" w:type="dxa"/>
            <w:vAlign w:val="bottom"/>
          </w:tcPr>
          <w:p>
            <w:pPr>
              <w:spacing w:after="0"/>
              <w:rPr>
                <w:sz w:val="5"/>
                <w:szCs w:val="5"/>
                <w:color w:val="auto"/>
              </w:rPr>
            </w:pPr>
          </w:p>
        </w:tc>
        <w:tc>
          <w:tcPr>
            <w:tcW w:w="13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4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2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81"/>
        </w:trPr>
        <w:tc>
          <w:tcPr>
            <w:tcW w:w="512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1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7"/>
                <w:szCs w:val="7"/>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5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86"/>
        </w:trPr>
        <w:tc>
          <w:tcPr>
            <w:tcW w:w="5120" w:type="dxa"/>
            <w:vAlign w:val="bottom"/>
            <w:tcBorders>
              <w:bottom w:val="single" w:sz="8" w:color="CCEEFF"/>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12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162,475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5,267</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9.53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1,811</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126,975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5,558</w:t>
            </w: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exercisable at September 30, 2019</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20" w:type="dxa"/>
            <w:vAlign w:val="bottom"/>
            <w:vMerge w:val="continue"/>
          </w:tcPr>
          <w:p>
            <w:pPr>
              <w:spacing w:after="0"/>
              <w:rPr>
                <w:sz w:val="19"/>
                <w:szCs w:val="19"/>
                <w:color w:val="auto"/>
              </w:rPr>
            </w:pPr>
          </w:p>
        </w:tc>
        <w:tc>
          <w:tcPr>
            <w:tcW w:w="12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126,975</w:t>
            </w:r>
          </w:p>
        </w:tc>
        <w:tc>
          <w:tcPr>
            <w:tcW w:w="100" w:type="dxa"/>
            <w:vAlign w:val="bottom"/>
          </w:tcPr>
          <w:p>
            <w:pPr>
              <w:spacing w:after="0"/>
              <w:rPr>
                <w:sz w:val="19"/>
                <w:szCs w:val="19"/>
                <w:color w:val="auto"/>
              </w:rPr>
            </w:pPr>
          </w:p>
        </w:tc>
        <w:tc>
          <w:tcPr>
            <w:tcW w:w="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23.20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5,558</w:t>
            </w:r>
          </w:p>
        </w:tc>
        <w:tc>
          <w:tcPr>
            <w:tcW w:w="120" w:type="dxa"/>
            <w:vAlign w:val="bottom"/>
          </w:tcPr>
          <w:p>
            <w:pPr>
              <w:spacing w:after="0"/>
              <w:rPr>
                <w:sz w:val="19"/>
                <w:szCs w:val="19"/>
                <w:color w:val="auto"/>
              </w:rPr>
            </w:pP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unrecognized compensation cost for unvested options as of September 30, 2019 was $nil.</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Restricted stock and restricted stock unit activity under the Company’s stock-based compensation plans is shown below:</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28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Restricted Stock Units</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4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36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09"/>
        </w:trPr>
        <w:tc>
          <w:tcPr>
            <w:tcW w:w="5280" w:type="dxa"/>
            <w:vAlign w:val="bottom"/>
          </w:tcPr>
          <w:p>
            <w:pPr>
              <w:spacing w:after="0"/>
              <w:rPr>
                <w:sz w:val="9"/>
                <w:szCs w:val="9"/>
                <w:color w:val="auto"/>
              </w:rPr>
            </w:pPr>
          </w:p>
        </w:tc>
        <w:tc>
          <w:tcPr>
            <w:tcW w:w="142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36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6"/>
        </w:trPr>
        <w:tc>
          <w:tcPr>
            <w:tcW w:w="5280" w:type="dxa"/>
            <w:vAlign w:val="bottom"/>
          </w:tcPr>
          <w:p>
            <w:pPr>
              <w:spacing w:after="0"/>
              <w:rPr>
                <w:sz w:val="7"/>
                <w:szCs w:val="7"/>
                <w:color w:val="auto"/>
              </w:rPr>
            </w:pPr>
          </w:p>
        </w:tc>
        <w:tc>
          <w:tcPr>
            <w:tcW w:w="13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5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0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103,623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42.68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953,578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51.81</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Granted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466,173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64.15</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Vested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37.44</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47.25</w:t>
            </w:r>
          </w:p>
        </w:tc>
        <w:tc>
          <w:tcPr>
            <w:tcW w:w="0" w:type="dxa"/>
            <w:vAlign w:val="bottom"/>
          </w:tcPr>
          <w:p>
            <w:pPr>
              <w:spacing w:after="0"/>
              <w:rPr>
                <w:sz w:val="1"/>
                <w:szCs w:val="1"/>
                <w:color w:val="auto"/>
              </w:rPr>
            </w:pPr>
          </w:p>
        </w:tc>
      </w:tr>
      <w:tr>
        <w:trPr>
          <w:trHeight w:val="243"/>
        </w:trPr>
        <w:tc>
          <w:tcPr>
            <w:tcW w:w="5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Forfeited</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57.69</w:t>
            </w:r>
          </w:p>
        </w:tc>
        <w:tc>
          <w:tcPr>
            <w:tcW w:w="0" w:type="dxa"/>
            <w:vAlign w:val="bottom"/>
          </w:tcPr>
          <w:p>
            <w:pPr>
              <w:spacing w:after="0"/>
              <w:rPr>
                <w:sz w:val="1"/>
                <w:szCs w:val="1"/>
                <w:color w:val="auto"/>
              </w:rPr>
            </w:pPr>
          </w:p>
        </w:tc>
      </w:tr>
      <w:tr>
        <w:trPr>
          <w:trHeight w:val="27"/>
        </w:trPr>
        <w:tc>
          <w:tcPr>
            <w:tcW w:w="52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49,768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48.35</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965,705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59.24</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ind w:firstLine="413"/>
        <w:spacing w:after="0" w:line="283" w:lineRule="auto"/>
        <w:tabs>
          <w:tab w:leader="none" w:pos="537" w:val="left"/>
        </w:tabs>
        <w:numPr>
          <w:ilvl w:val="0"/>
          <w:numId w:val="1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As of September 30, 2019 and December 31, 2018 restricted stock units vested for which the underlying common stock is yet to be issued are 164,831 and 155,753, respectively.</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2019, unrecognized compensation cost of $46,421 is expected to be expensed over a weighted average period of 2.70 years.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Based Stock Awards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Performance based restricted stock unit (the “PRSUs”) activity under the Company’s stock-based compensation plans is shown below:</w:t>
      </w:r>
    </w:p>
    <w:p>
      <w:pPr>
        <w:spacing w:after="0" w:line="232" w:lineRule="exact"/>
        <w:rPr>
          <w:sz w:val="20"/>
          <w:szCs w:val="20"/>
          <w:color w:val="auto"/>
        </w:rPr>
      </w:pPr>
    </w:p>
    <w:tbl>
      <w:tblPr>
        <w:tblLayout w:type="fixed"/>
        <w:tblInd w:w="420" w:type="dxa"/>
        <w:tblCellMar>
          <w:top w:w="0" w:type="dxa"/>
          <w:left w:w="0" w:type="dxa"/>
          <w:bottom w:w="0" w:type="dxa"/>
          <w:right w:w="0" w:type="dxa"/>
        </w:tblCellMar>
      </w:tblPr>
      <w:tr>
        <w:trPr>
          <w:trHeight w:val="195"/>
        </w:trPr>
        <w:tc>
          <w:tcPr>
            <w:tcW w:w="4780" w:type="dxa"/>
            <w:vAlign w:val="bottom"/>
          </w:tcPr>
          <w:p>
            <w:pPr>
              <w:spacing w:after="0"/>
              <w:rPr>
                <w:sz w:val="16"/>
                <w:szCs w:val="16"/>
                <w:color w:val="auto"/>
              </w:rPr>
            </w:pPr>
          </w:p>
        </w:tc>
        <w:tc>
          <w:tcPr>
            <w:tcW w:w="286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Revenue Based PRSUs</w:t>
            </w:r>
          </w:p>
        </w:tc>
        <w:tc>
          <w:tcPr>
            <w:tcW w:w="100" w:type="dxa"/>
            <w:vAlign w:val="bottom"/>
          </w:tcPr>
          <w:p>
            <w:pPr>
              <w:spacing w:after="0"/>
              <w:rPr>
                <w:sz w:val="16"/>
                <w:szCs w:val="16"/>
                <w:color w:val="auto"/>
              </w:rPr>
            </w:pPr>
          </w:p>
        </w:tc>
        <w:tc>
          <w:tcPr>
            <w:tcW w:w="2860" w:type="dxa"/>
            <w:vAlign w:val="bottom"/>
            <w:tcBorders>
              <w:bottom w:val="single" w:sz="8" w:color="auto"/>
            </w:tcBorders>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Market Condition Based PRSUs</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4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2"/>
                <w:szCs w:val="12"/>
                <w:color w:val="auto"/>
              </w:rPr>
            </w:pPr>
          </w:p>
        </w:tc>
        <w:tc>
          <w:tcPr>
            <w:tcW w:w="1260" w:type="dxa"/>
            <w:vAlign w:val="bottom"/>
          </w:tcPr>
          <w:p>
            <w:pPr>
              <w:jc w:val="right"/>
              <w:ind w:right="55"/>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09"/>
        </w:trPr>
        <w:tc>
          <w:tcPr>
            <w:tcW w:w="478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48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86"/>
        </w:trPr>
        <w:tc>
          <w:tcPr>
            <w:tcW w:w="47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4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100,353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54.07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100,336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62.43</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54,062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64.33</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92.13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7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2019</w:t>
            </w:r>
          </w:p>
        </w:tc>
        <w:tc>
          <w:tcPr>
            <w:tcW w:w="13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154,415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57.66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154,389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72.83</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As of September 30, 2019, unrecognized compensation cost of $10,503 is expected to be expensed over a weighted average period of 1.84 years.</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17" w:right="239" w:bottom="1440" w:gutter="0" w:footer="0" w:header="0"/>
          <w:type w:val="continuous"/>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Impairment and Restructuring Charges</w:t>
      </w:r>
    </w:p>
    <w:p>
      <w:pPr>
        <w:spacing w:after="0" w:line="243" w:lineRule="exact"/>
        <w:rPr>
          <w:sz w:val="20"/>
          <w:szCs w:val="20"/>
          <w:color w:val="auto"/>
        </w:rPr>
      </w:pPr>
    </w:p>
    <w:p>
      <w:pPr>
        <w:jc w:val="both"/>
        <w:ind w:firstLine="405"/>
        <w:spacing w:after="0" w:line="269" w:lineRule="auto"/>
        <w:rPr>
          <w:sz w:val="20"/>
          <w:szCs w:val="20"/>
          <w:color w:val="auto"/>
        </w:rPr>
      </w:pPr>
      <w:r>
        <w:rPr>
          <w:rFonts w:ascii="Times New Roman" w:cs="Times New Roman" w:eastAsia="Times New Roman" w:hAnsi="Times New Roman"/>
          <w:sz w:val="18"/>
          <w:szCs w:val="18"/>
          <w:color w:val="auto"/>
        </w:rPr>
        <w:t xml:space="preserve">On March 29, 2019, the Company commenced the process of substantially winding down of the operations of the Health Integrated business, which is reported within the Healthcare reportable segment. The Company had previously disclosed in its Annual Report on Form 10-K for the year ended December 31, 2018 filed with the Securities and Exchange Commission (“SEC”) on February 28, 2019, the operating results of this business were significantly below the Company’s estimates and future estimated cash flows are impacted due to loss of customer contracts and cost pressures, and the Company continues to incur losses from this business. The Company expects the wind down process to be substantially completed by the end of 2019. In connection with the wind down process, the Company recorded pre-tax costs in the unaudited consolidated statements of income under </w:t>
      </w:r>
      <w:r>
        <w:rPr>
          <w:rFonts w:ascii="Times New Roman" w:cs="Times New Roman" w:eastAsia="Times New Roman" w:hAnsi="Times New Roman"/>
          <w:sz w:val="19"/>
          <w:szCs w:val="19"/>
          <w:color w:val="auto"/>
        </w:rPr>
        <w:t>“I</w:t>
      </w:r>
      <w:r>
        <w:rPr>
          <w:rFonts w:ascii="Times New Roman" w:cs="Times New Roman" w:eastAsia="Times New Roman" w:hAnsi="Times New Roman"/>
          <w:sz w:val="18"/>
          <w:szCs w:val="18"/>
          <w:color w:val="auto"/>
        </w:rPr>
        <w:t>mpairment and restructuring charges</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following table summarizes the activity related to the costs incurred and paid for the wind down during the three and nine months ended September 30, 2019:</w:t>
      </w:r>
    </w:p>
    <w:p>
      <w:pPr>
        <w:spacing w:after="0" w:line="330"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6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120" w:type="dxa"/>
            <w:vAlign w:val="bottom"/>
          </w:tcPr>
          <w:p>
            <w:pPr>
              <w:spacing w:after="0"/>
              <w:rPr>
                <w:sz w:val="13"/>
                <w:szCs w:val="13"/>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40" w:type="dxa"/>
            <w:vAlign w:val="bottom"/>
          </w:tcPr>
          <w:p>
            <w:pPr>
              <w:spacing w:after="0"/>
              <w:rPr>
                <w:sz w:val="13"/>
                <w:szCs w:val="13"/>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Associated Costs</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January 1,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incurred during the six months ended June 30, 2019</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752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incurred during the three months ended September 30, 2019</w:t>
            </w: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r>
        <w:trPr>
          <w:trHeight w:val="237"/>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Cumulative costs incurred as of September 30, 2019</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4,129</w:t>
            </w:r>
          </w:p>
        </w:tc>
        <w:tc>
          <w:tcPr>
            <w:tcW w:w="0" w:type="dxa"/>
            <w:vAlign w:val="bottom"/>
          </w:tcPr>
          <w:p>
            <w:pPr>
              <w:spacing w:after="0"/>
              <w:rPr>
                <w:sz w:val="1"/>
                <w:szCs w:val="1"/>
                <w:color w:val="auto"/>
              </w:rPr>
            </w:pPr>
          </w:p>
        </w:tc>
      </w:tr>
      <w:tr>
        <w:trPr>
          <w:trHeight w:val="27"/>
        </w:trPr>
        <w:tc>
          <w:tcPr>
            <w:tcW w:w="6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paid during the six months ended June 30, 2019</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43"/>
        </w:trPr>
        <w:tc>
          <w:tcPr>
            <w:tcW w:w="6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Costs paid during the three months ended September 30, 2019</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0" w:type="dxa"/>
            <w:vAlign w:val="bottom"/>
          </w:tcPr>
          <w:p>
            <w:pPr>
              <w:spacing w:after="0"/>
              <w:rPr>
                <w:sz w:val="1"/>
                <w:szCs w:val="1"/>
                <w:color w:val="auto"/>
              </w:rPr>
            </w:pPr>
          </w:p>
        </w:tc>
      </w:tr>
      <w:tr>
        <w:trPr>
          <w:trHeight w:val="27"/>
        </w:trPr>
        <w:tc>
          <w:tcPr>
            <w:tcW w:w="6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2,633</w:t>
            </w:r>
          </w:p>
        </w:tc>
        <w:tc>
          <w:tcPr>
            <w:tcW w:w="0" w:type="dxa"/>
            <w:vAlign w:val="bottom"/>
          </w:tcPr>
          <w:p>
            <w:pPr>
              <w:spacing w:after="0"/>
              <w:rPr>
                <w:sz w:val="1"/>
                <w:szCs w:val="1"/>
                <w:color w:val="auto"/>
              </w:rPr>
            </w:pPr>
          </w:p>
        </w:tc>
      </w:tr>
      <w:tr>
        <w:trPr>
          <w:trHeight w:val="318"/>
        </w:trPr>
        <w:tc>
          <w:tcPr>
            <w:tcW w:w="6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expected costs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5,500</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Additionally, the Company recognized impairment on ROU assets and long-lived assets of $nil and $3,167 during the three and nine months ended September 30, 2019, respectively in the unaudited consolidated statements of income under "Impairment and restructuring charges".</w:t>
      </w:r>
    </w:p>
    <w:p>
      <w:pPr>
        <w:spacing w:after="0" w:line="162"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Costs and cash expenditures expected to be incurred are subject to a number of assumptions, and the Company may incur additional costs not currently contemplated due to events that may occur as a result of, or that are associated with the wind down process.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Related Party Disclosures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On October 1, 2018, the Company entered into the Investment Agreement with the Purchaser relating to the issuance to the Purchaser of $150,000 aggregate principal amount of the Notes. In connection with the investment, Vikram S. Pandit, Chairman and CEO of The Orogen Group LLC (an affiliate of the Purchaser), was appointed to Company’s Board of Directors.</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had outstanding Notes with a principal amount of $150,000 each as of September 30, 2019 and December 31, 2018 and interest accrued of $2,625 and $1,313 as of September 30, 2019 and December 31, 2018, respectively, related to the Investment Agreement. Refer Note 18 to the unaudited consolidated financial statements for details.</w:t>
      </w:r>
    </w:p>
    <w:p>
      <w:pPr>
        <w:spacing w:after="0" w:line="6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 provides consulting services to PharmaCord, LLC. One of the Company’s directors, Nitin Sahney, is the member-manager and chief executive officer of PharmaCord, LLC. The Company recognized revenue of $nil each during the three and nine months ended September 30, 2019, and $10 and $225 during the three and nine months ended September 30, 2018, respectively, for services provided.</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2019 and December 31, 2018, the Company had accounts receivable of $nil and $5, respectively, related to these services.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117" w:right="2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Commitments and Contingencies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Asset Commitments</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At September 30, 2019, the Company has committed to spend approximately $5,906 under agreements to purchase property and equipment. This amount is net of capital advances paid in respect of these purchases.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Certain units of the Company’s Indian subsidiaries were established as 100% Export-Oriented units or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8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The Company’s operations centers in the Philippines are registered with the Philippine Economic Zone Authority (“PEZA”). The registration provides the Company with certain fiscal incentives on the import of capital goods and requires ExlService Philippines, Inc. to meet certain performance and investment criteria. The Company’s management believes that these centers have in the past satisfied and will continue to satisfy the required criteria.</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March 2017, the Company was named as a defendant in a putative class action lawsuit filed in California, which challenged the classification of independent contractors. The parties participated in a mediation in early 2018. As the result of the mediation, a settlement was reached pursuant to which the Company agreed, without admission of wrongdoing, to pay a total of $2,400, of which $1,200 was paid in 2018 and the remainder was paid during the three months ended March 31, 2019.</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 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a U.S. subsidiary are engaged in tax litigation with the income-tax authorities in India on the issue of permanent establishment. The Company is subject to taxation in the United States and various states and foreign jurisdictions. For the U.S. and India, tax year 2015 and subsequent tax years remain open for examination by the tax authorities as of September 30, 2019.</w:t>
      </w:r>
    </w:p>
    <w:p>
      <w:pPr>
        <w:spacing w:after="0" w:line="18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aggregate amount demanded by Income tax authorities (net of advance payments, if any) from the Company primarily related to its transfer pricing issues for tax years 2003 to 2015 and its permanent establishment issues for tax years 2003 to 2007 as of September 30, 2019 and December 31, 2018 is $16,077 and $18,177, respectively, of which the Company has made payments or provided bank guarantees to the extent of $8,148 and $8,171, respectively. Amounts paid as deposits in respect of such assessments aggregating to $6,279 and $6,272 as of September 30, 2019 and December 31, 2018, respectively, are included in “Other assets” and amounts deposited for bank guarantees aggregating to $1,869 and $1,899 as of September 30, 2019 and December 31, 2018, respectively, are included in “Restricted cash” in the non-current assets section of the Company’s unaudited consolidated balance sheets.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Based on the facts underlying the Company’s position and its experience with these types of assessments, the Company believes that its position will more likely than not be sustained upon final examination by the tax authorities based on its technical merits as of the reporting date and accordingly has not accrued any amount with respect to these matters in its unaudited consolidated financial statements. The Company does not expect any impact from these assessments on its future income tax expense. It is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17" w:right="23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EXLSERVICE HOLDINGS, INC.</w:t>
      </w:r>
    </w:p>
    <w:p>
      <w:pPr>
        <w:spacing w:after="0" w:line="95"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possible that the Company might receive similar orders or assessments from tax authorities for subsequent years. Accordingly, even if these disputes are resolved, the Indian tax authorities may still serve additional orders or assessments.</w:t>
      </w:r>
    </w:p>
    <w:p>
      <w:pPr>
        <w:spacing w:after="0" w:line="16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During the quarter ended March 31, 2019, there was a judicial pronouncement in India with respect to defined contribution benefits payments interpreting certain statutory defined contribution obligations of employees and employers. It is unclear whether the interpretation set out in the pronouncement has retrospective application. If applied retrospectively, the interpretation may result in a significant increase in contributions payable by the Company for past periods for certain of its India-based employees. There are numerous interpretative challenges concerning the retrospective application of the judgment. Due to such challenges and a lack of interpretive guidance, and based on legal advice, the Company believes it is currently impracticable to reliably estimate the timing and amount of any payments the Company may be required to make. Accordingly, the Company will re-evaluate the amount of a potential provision, if any, upon further developments.</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From time to time, the Company and/or its present officers or directors, on individual basis, may be or have been, named as a defendant in litigation matters, including employment-related claims. The plaintiffs in those cases seek damages, including, where applicable, compensatory damages, punitive damages and attorneys’ fees. With respect to pending litigation matters as of the reporting date, the Company believes that the damages amounts claimed in such cases are not meaningful indicators of the potential liabilities of the Company, that these matters are without merit, and that the Company intends to vigorously defend each of them.</w:t>
      </w:r>
    </w:p>
    <w:p>
      <w:pPr>
        <w:spacing w:after="0" w:line="184"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outcomes of legal actions are unpredictable and subject to significant uncertainties, and thus it is inherently difficult to determine the likelihood of the Company incurring a material loss or quantification of any such loss. With respect to pending litigation matters as of the reporting date, based on information currently available, including the Company’s assessment of the facts underlying each matter and advice of counsel, the amount or range of reasonably possible losses, if any, cannot be reasonably estimated. Based on the Company’s assessment, including the availability of insurance recoveries, the Company’s management does not believe that currently pending litigation, individually or in aggregate, will have a material adverse effect on the Company’s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117" w:right="23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1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2018. Some of the statements in the following discussion are forward looking statements. Dollar amounts within Item 2 are presented as actual, rounded, dollar amounts.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You should not place undue reliance on these statements because they are subject to numerous uncertainties and factors relating to our operations and business environment, all of which are difficult to predict and many of which are beyond our control.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forward-looking statements are based on reasonable assumptions, you should be aware that many factors could affect our actual financial results or results of operations and could cause actual results to differ materially from those in the forward-looking statements. These factors include but are not limited to:</w:t>
      </w:r>
    </w:p>
    <w:p>
      <w:pPr>
        <w:spacing w:after="0" w:line="81" w:lineRule="exact"/>
        <w:rPr>
          <w:sz w:val="20"/>
          <w:szCs w:val="20"/>
          <w:color w:val="auto"/>
        </w:rPr>
      </w:pPr>
    </w:p>
    <w:p>
      <w:pPr>
        <w:ind w:left="660" w:hanging="328"/>
        <w:spacing w:after="0"/>
        <w:tabs>
          <w:tab w:leader="none" w:pos="6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limited number of clients in a limited number of industries;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worldwide political, economic or business conditions;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 reaction in the U.S. or elsewhere to offshore outsourcing;</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earnings;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clients including in a timely manner;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consummate or integrate strategic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estimate and/or manage the costs and/or timing of winding down businesses;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immigration;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enough sufficiently trained employees to support our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grow our business or effectively manage growth and international operations;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the senior management team;</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in our industry;</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telecommunications or technology disruptions;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withstand the loss of a significant customer;</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entire book value of goodwill and other intangible assets from acquisitions;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legislative and judicial developments, including changes to or the withdrawal of governmental fiscal incentives;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decisions regarding repatriation of funds held abroad;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service debt or obtain additional financing on favorable terms;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liability arising out of customer contracts;</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economic instability in the geographies in which we operate;</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security incidents, data breaches, or other unauthorized disclosure of sensitive or confidential client and customer data; and</w:t>
      </w:r>
    </w:p>
    <w:p>
      <w:pPr>
        <w:spacing w:after="0" w:line="63" w:lineRule="exact"/>
        <w:rPr>
          <w:rFonts w:ascii="Times New Roman" w:cs="Times New Roman" w:eastAsia="Times New Roman" w:hAnsi="Times New Roman"/>
          <w:sz w:val="18"/>
          <w:szCs w:val="18"/>
          <w:color w:val="auto"/>
        </w:rPr>
      </w:pPr>
    </w:p>
    <w:p>
      <w:pPr>
        <w:ind w:left="640" w:hanging="321"/>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outcome of our disputes with the Indian tax authorities.</w:t>
      </w:r>
    </w:p>
    <w:p>
      <w:pPr>
        <w:spacing w:after="0" w:line="117"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These and other factors are more fully discussed in our Annual Report on Form 10-K for the fiscal year ended December 31, 2018. These and other risks could cause actual results to differ materially from those implied by forward-looking statements in this Quarterly Report on Form 10-Q.</w:t>
      </w:r>
    </w:p>
    <w:p>
      <w:pPr>
        <w:spacing w:after="0" w:line="5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forward-looking statements made by us in this Quarterly Report on Form 10-Q, or elsewhere, speak only as of the date on which they were made. New risks and uncertainties come up from time to time, and it is impossible for us to predict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3" w:right="23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those events or how they may affect us. We have no obligation to update any forward-looking statements in this Quarterly Report on Form 10-Q after the date of this Quarterly Report on Form 10-Q, except as required by federal securities laws.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21"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We are an operations management and analytics company that helps businesses enhance revenue growth and improve profitability. Using proprietary platforms, methodologies, and our full range of digital capabilities, we look deeper to help companies transform their businesses, functions and operations, to help them deliver better customer experience and business outcomes, while managing risk and compliance. We serve our customers in the insurance, healthcare, travel, transportation and logistics, banking and financial services and utilities industries, among others.</w:t>
      </w:r>
    </w:p>
    <w:p>
      <w:pPr>
        <w:spacing w:after="0" w:line="72"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We operate in the business process management (“BPM”) industry and we provide operations management and analytics services. Our eight operating segments are strategic business units that align our products and services with how we manage our business, approach our key markets and interact with our clients. Six of those operating segments provide BPM or “operations management” services, which we organize into industry-focused operating segments (Insurance, Healthcare, Travel, Transportation and Logistics, Banking and Financial Services, and Utilities) and one “capability” operating segment (Finance and Accounting) that provides services to clients in our industry-focused segments as well as clients across other industries. In each of these six operating segments we provide operations management services, which typically involve transfer to the Company of business operations of a client, after which we administer and manage those operations for our client on an ongoing basis. Our remaining two operating segments are Consulting, which provides industry-specific digital transformational services related to operations management services, and our Analytics operating segment, which provides services that focus on driving improved business outcomes for clients by generating data-driven insights across all parts of their business.</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present information for the following reportable segments:</w:t>
      </w:r>
    </w:p>
    <w:p>
      <w:pPr>
        <w:spacing w:after="0" w:line="225" w:lineRule="exact"/>
        <w:rPr>
          <w:sz w:val="20"/>
          <w:szCs w:val="20"/>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7"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Transportation and Logistics,</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and Accounting,</w:t>
      </w:r>
    </w:p>
    <w:p>
      <w:pPr>
        <w:spacing w:after="0" w:line="9" w:lineRule="exact"/>
        <w:rPr>
          <w:rFonts w:ascii="Times New Roman" w:cs="Times New Roman" w:eastAsia="Times New Roman" w:hAnsi="Times New Roman"/>
          <w:sz w:val="18"/>
          <w:szCs w:val="18"/>
          <w:color w:val="auto"/>
        </w:rPr>
      </w:pPr>
    </w:p>
    <w:p>
      <w:pPr>
        <w:ind w:left="740" w:hanging="327"/>
        <w:spacing w:after="0"/>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Analytics, and</w:t>
      </w:r>
    </w:p>
    <w:p>
      <w:pPr>
        <w:spacing w:after="0" w:line="9" w:lineRule="exact"/>
        <w:rPr>
          <w:rFonts w:ascii="Times New Roman" w:cs="Times New Roman" w:eastAsia="Times New Roman" w:hAnsi="Times New Roman"/>
          <w:sz w:val="18"/>
          <w:szCs w:val="18"/>
          <w:color w:val="auto"/>
        </w:rPr>
      </w:pPr>
    </w:p>
    <w:p>
      <w:pPr>
        <w:ind w:left="740" w:right="580" w:hanging="327"/>
        <w:spacing w:after="0" w:line="261" w:lineRule="auto"/>
        <w:tabs>
          <w:tab w:leader="none" w:pos="7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(consisting of our remaining operating segments, including our Banking and Financial services, Utilities and Consulting operating segments).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Our global delivery network, which include highly trained industry and process specialists across the United States, Latin America, South Africa, Europe and Asia (primarily India and the Philippines), is a key asset. We have operations centers in India, the U.S., the Philippines, Bulgaria, Colombia, South Africa, Romania and the Czech Republic.</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On July 1, 2018, we completed the acquisition of SCIO pursuant to the Merger Agreement. The acquisition of SCIO is included in the Analytics reportable segment. SCIO is a health analytics solution and services company serving over 100 healthcare organizations representing over 130 million covered lives across the continuum, including providers, health plans, pharmacy benefit managers, employers, health services and global life sciences companies.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12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we had revenues of $251.4 million compared to revenues of $231.1 million for the three months ended September 30, 2018, an increase of $20.3 million, or 8.8%. For the nine months ended September 30, 2019, we had revenues of $734.5 million compared to revenues of $648.2 million for the nine months ended September 30, 2018, an increase of $86.3 million, or 13.3%.</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serve clients mainly in the U.S. and the U.K., with these two regions generating 83.0% and 11.1%, respectively, of our total revenues for the three months ended September 30, 2019, and 82.9% and 12.9%, respectively, of our revenues for the three months ended September 30, 2018. For the nine months ended September 30, 2019, these two regions generated 82.1% and 11.9%, respectively, of our total revenues and 82.8% and 13.2%, respectively, of our total revenues for the nine months ended September 30, 2018.</w:t>
      </w:r>
    </w:p>
    <w:p>
      <w:pPr>
        <w:spacing w:after="0" w:line="180"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2019 and 2018, our total revenues from our top ten clients accounted for 35.7% and 36.7% of our total revenues, respectively. For the nine months ended September 30, 2019 and 2018, our total revenues from our top ten clients accounted for 36.2% and 37.9% of our total revenues, respectively. Our revenue concentration with our top clients remains consistent year-over-year and we continue to develop relationships with new clients to diversify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3" w:right="23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client base. We believe that the loss of any of our ten largest clients could have a material adverse effect on our financial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provide operations management and analytics services. We market our services to our existing and prospective clients through our sales and client management teams, which are aligned by key industry verticals and cross-industry domains such as finance and accounting. Our sales and client management teams operate from the U.S., Europe and Australia.</w:t>
      </w:r>
    </w:p>
    <w:p>
      <w:pPr>
        <w:spacing w:after="0" w:line="17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Operations Management Services: </w:t>
      </w:r>
      <w:r>
        <w:rPr>
          <w:rFonts w:ascii="Times New Roman" w:cs="Times New Roman" w:eastAsia="Times New Roman" w:hAnsi="Times New Roman"/>
          <w:sz w:val="18"/>
          <w:szCs w:val="18"/>
          <w:color w:val="auto"/>
        </w:rPr>
        <w:t>We provide our clients with a range of operations management services principally in the insurance, healthcare,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travel, transportation and logistics, banking and financial services and utilities sectors, among others, as well as cross-industry operations management services, such as finance and accounting services. We also provide services related to operations management, through our Consulting services that provides industry-specific digital transformational services.</w:t>
      </w:r>
    </w:p>
    <w:p>
      <w:pPr>
        <w:spacing w:after="0" w:line="1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operations management solutions typically involve the transfer to the Company business operations of a client such as claims processing, clinical operations, or financial transaction processing, after which we administer and manage the operations for our client on an ongoing basis. As part of this transfer, we hire and train employees to work at our operations centers on the relevant business operations, implement a process migration to these operations centers and then provide services either to the client or directly to the client’s customers. Each client contract has different terms based on the scope, deliverables and complexity of the engagement.</w:t>
      </w:r>
    </w:p>
    <w:p>
      <w:pPr>
        <w:spacing w:after="0" w:line="18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We have been observing a shift in industry pricing models toward transaction-based pricing, outcome-based pricing and other pricing models. We believe this trend will continue and we have begun to use such alternative pricing models with some of our current clients and are seeking to move certain other clients from a billing rate model to a transaction-based or other pricing model. These pricing models place the focus on operating efficiency in order to maintain our gross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gross margins from the provision of services to such client for each vendor. To the extent our large clients expand their use of multi-vendor relationships and are able to extract more favorable contract terms from other vendors, our gross margins and revenues may be reduced with regard to such clients if we are required to modify the terms of our relationships with such clients to meet competition.</w:t>
      </w:r>
    </w:p>
    <w:p>
      <w:pPr>
        <w:spacing w:after="0" w:line="18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existing agreements with original terms of three or more years provide us with a relatively predictable revenue base for a substantial portion of our operations management business, however, we have a long selling cycle for our services and the budget and approval processes of prospective clients make it difficult to predict the timing of entering into definitive agreements with new clients. Similarly, new license sales and implementation projects for our technology service platforms and other software-based services have a long selling cycle, however ongoing annual maintenance and support contracts for existing arrangements provide us with a relatively predictable revenue base.</w:t>
      </w:r>
    </w:p>
    <w:p>
      <w:pPr>
        <w:spacing w:after="0" w:line="182"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Analytics: </w:t>
      </w:r>
      <w:r>
        <w:rPr>
          <w:rFonts w:ascii="Times New Roman" w:cs="Times New Roman" w:eastAsia="Times New Roman" w:hAnsi="Times New Roman"/>
          <w:sz w:val="18"/>
          <w:szCs w:val="18"/>
          <w:color w:val="auto"/>
        </w:rPr>
        <w:t>Our Analytics services focus on driving improved business outcomes for our customers by generating data-driven insights across all parts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customers’ business. We also provide care optimization and reimbursement optimization services, for our clients through our healthcare analytics solutions and services. We also offer integrated solutions to help our clients in cost containment by leveraging technology platforms, customizable and configurable analytics and expertise in healthcare reimbursements to help clients enhance their claim payment accuracy. Our teams deliver predictive and prescriptive analytics in the areas of customer acquisition and lifecycle management, risk underwriting and pricing, operational effectiveness, credit and operational risk monitoring and governance, regulatory reporting, payment integrity and care management and data management. We actively cross-sell and, where appropriate, integrate our Analytics services with other operations management services as part of a comprehensive offering set for our clients.</w:t>
      </w:r>
    </w:p>
    <w:p>
      <w:pPr>
        <w:spacing w:after="0" w:line="18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anticipate that revenues from our Analytics services will grow as we expand our service offerings and client base, both organically and through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refer to “Management’s Discussion and Analysis of Financial Condition and Results of Operations – Critical Accounting Policies and Estimates” and Note 2 to the consolidated financial statements included in our Annual Report on Form 10-K for the fiscal year ended December 31,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3" w:right="23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nine months ended September 30, 2019 and 2018:</w:t>
      </w:r>
    </w:p>
    <w:p>
      <w:pPr>
        <w:sectPr>
          <w:pgSz w:w="11900" w:h="16838" w:orient="portrait"/>
          <w:cols w:equalWidth="0" w:num="1">
            <w:col w:w="11420"/>
          </w:cols>
          <w:pgMar w:left="240" w:top="333" w:right="239" w:bottom="1440" w:gutter="0" w:footer="0" w:header="0"/>
        </w:sectPr>
      </w:pPr>
    </w:p>
    <w:p>
      <w:pPr>
        <w:spacing w:after="0" w:line="34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24765</wp:posOffset>
            </wp:positionV>
            <wp:extent cx="19208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103" w:lineRule="exact"/>
        <w:rPr>
          <w:sz w:val="20"/>
          <w:szCs w:val="20"/>
          <w:color w:val="auto"/>
        </w:rPr>
      </w:pPr>
    </w:p>
    <w:p>
      <w:pPr>
        <w:ind w:left="5880"/>
        <w:spacing w:after="0"/>
        <w:tabs>
          <w:tab w:leader="none" w:pos="746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24765</wp:posOffset>
            </wp:positionV>
            <wp:extent cx="19208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89"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24765</wp:posOffset>
            </wp:positionV>
            <wp:extent cx="18694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103" w:lineRule="exact"/>
        <w:rPr>
          <w:sz w:val="20"/>
          <w:szCs w:val="20"/>
          <w:color w:val="auto"/>
        </w:rPr>
      </w:pPr>
    </w:p>
    <w:p>
      <w:pPr>
        <w:ind w:left="100"/>
        <w:spacing w:after="0"/>
        <w:tabs>
          <w:tab w:leader="none" w:pos="1620" w:val="left"/>
        </w:tabs>
        <w:rPr>
          <w:sz w:val="20"/>
          <w:szCs w:val="20"/>
          <w:color w:val="auto"/>
        </w:rPr>
      </w:pPr>
      <w:r>
        <w:rPr>
          <w:rFonts w:ascii="Times New Roman" w:cs="Times New Roman" w:eastAsia="Times New Roman" w:hAnsi="Times New Roman"/>
          <w:sz w:val="14"/>
          <w:szCs w:val="14"/>
          <w:b w:val="1"/>
          <w:bCs w:val="1"/>
          <w:color w:val="auto"/>
        </w:rPr>
        <w:t>2019</w:t>
      </w:r>
      <w:r>
        <w:rPr>
          <w:sz w:val="20"/>
          <w:szCs w:val="20"/>
          <w:color w:val="auto"/>
        </w:rPr>
        <w:tab/>
      </w:r>
      <w:r>
        <w:rPr>
          <w:rFonts w:ascii="Times New Roman" w:cs="Times New Roman" w:eastAsia="Times New Roman" w:hAnsi="Times New Roman"/>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24765</wp:posOffset>
            </wp:positionV>
            <wp:extent cx="18694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8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b w:val="1"/>
          <w:bCs w:val="1"/>
          <w:color w:val="auto"/>
        </w:rPr>
        <w:t>(dollars in millions)</w:t>
      </w:r>
    </w:p>
    <w:p>
      <w:pPr>
        <w:spacing w:after="0" w:line="49" w:lineRule="exact"/>
        <w:rPr>
          <w:sz w:val="20"/>
          <w:szCs w:val="20"/>
          <w:color w:val="auto"/>
        </w:rPr>
      </w:pPr>
    </w:p>
    <w:p>
      <w:pPr>
        <w:sectPr>
          <w:pgSz w:w="11900" w:h="16838" w:orient="portrait"/>
          <w:cols w:equalWidth="0" w:num="2">
            <w:col w:w="8180" w:space="720"/>
            <w:col w:w="2520"/>
          </w:cols>
          <w:pgMar w:left="240" w:top="333" w:right="239" w:bottom="1440" w:gutter="0" w:footer="0" w:header="0"/>
          <w:type w:val="continuous"/>
        </w:sectPr>
      </w:pPr>
    </w:p>
    <w:tbl>
      <w:tblPr>
        <w:tblLayout w:type="fixed"/>
        <w:tblInd w:w="20" w:type="dxa"/>
        <w:tblCellMar>
          <w:top w:w="0" w:type="dxa"/>
          <w:left w:w="0" w:type="dxa"/>
          <w:bottom w:w="0" w:type="dxa"/>
          <w:right w:w="0" w:type="dxa"/>
        </w:tblCellMar>
      </w:tblPr>
      <w:tr>
        <w:trPr>
          <w:trHeight w:val="26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 net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251.4</w:t>
            </w:r>
          </w:p>
        </w:tc>
        <w:tc>
          <w:tcPr>
            <w:tcW w:w="20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648.2</w:t>
            </w:r>
          </w:p>
        </w:tc>
      </w:tr>
      <w:tr>
        <w:trPr>
          <w:trHeight w:val="270"/>
        </w:trPr>
        <w:tc>
          <w:tcPr>
            <w:tcW w:w="5320" w:type="dxa"/>
            <w:vAlign w:val="bottom"/>
            <w:tcBorders>
              <w:bottom w:val="single" w:sz="8" w:color="CCEEFF"/>
            </w:tcBorders>
          </w:tcPr>
          <w:p>
            <w:pPr>
              <w:ind w:left="20"/>
              <w:spacing w:after="0" w:line="27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5"/>
                <w:szCs w:val="25"/>
                <w:color w:val="auto"/>
                <w:vertAlign w:val="superscript"/>
              </w:rPr>
              <w:t>(1)</w:t>
            </w: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487.2</w:t>
            </w:r>
          </w:p>
        </w:tc>
        <w:tc>
          <w:tcPr>
            <w:tcW w:w="100" w:type="dxa"/>
            <w:vAlign w:val="bottom"/>
            <w:tcBorders>
              <w:bottom w:val="single" w:sz="8" w:color="CCEEFF"/>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429.9</w:t>
            </w:r>
          </w:p>
        </w:tc>
      </w:tr>
      <w:tr>
        <w:trPr>
          <w:trHeight w:val="264"/>
        </w:trPr>
        <w:tc>
          <w:tcPr>
            <w:tcW w:w="5320" w:type="dxa"/>
            <w:vAlign w:val="bottom"/>
            <w:shd w:val="clear" w:color="auto" w:fill="CCEEFF"/>
          </w:tcPr>
          <w:p>
            <w:pPr>
              <w:ind w:left="20"/>
              <w:spacing w:after="0" w:line="264" w:lineRule="exact"/>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25"/>
                <w:szCs w:val="25"/>
                <w:b w:val="1"/>
                <w:bCs w:val="1"/>
                <w:color w:val="auto"/>
                <w:vertAlign w:val="superscript"/>
              </w:rPr>
              <w:t>(1)</w:t>
            </w: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83.9</w:t>
            </w:r>
          </w:p>
        </w:tc>
        <w:tc>
          <w:tcPr>
            <w:tcW w:w="200" w:type="dxa"/>
            <w:vAlign w:val="bottom"/>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78.9</w:t>
            </w:r>
          </w:p>
        </w:tc>
        <w:tc>
          <w:tcPr>
            <w:tcW w:w="120" w:type="dxa"/>
            <w:vAlign w:val="bottom"/>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247.3</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218.3</w:t>
            </w: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41"/>
        </w:trPr>
        <w:tc>
          <w:tcPr>
            <w:tcW w:w="5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85.6</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45.6</w:t>
            </w:r>
          </w:p>
        </w:tc>
      </w:tr>
      <w:tr>
        <w:trPr>
          <w:trHeight w:val="27"/>
        </w:trPr>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35.2</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4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3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166.4</w:t>
            </w: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22.4</w:t>
            </w:r>
          </w:p>
        </w:tc>
        <w:tc>
          <w:tcPr>
            <w:tcW w:w="2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19.7</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53.1</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51.9</w:t>
            </w:r>
          </w:p>
        </w:tc>
      </w:tr>
      <w:tr>
        <w:trPr>
          <w:trHeight w:val="27"/>
        </w:trPr>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gain, net</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7"/>
        </w:trPr>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r>
      <w:tr>
        <w:trPr>
          <w:trHeight w:val="201"/>
        </w:trPr>
        <w:tc>
          <w:tcPr>
            <w:tcW w:w="532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Income before income tax expense and earnings from equity</w:t>
            </w: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affiliates</w:t>
            </w:r>
          </w:p>
        </w:tc>
        <w:tc>
          <w:tcPr>
            <w:tcW w:w="48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24.8</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21.1</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59.8</w:t>
            </w:r>
          </w:p>
        </w:tc>
      </w:tr>
      <w:tr>
        <w:trPr>
          <w:trHeight w:val="27"/>
        </w:trPr>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earnings from equity affiliates</w:t>
            </w: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19.1</w:t>
            </w:r>
          </w:p>
        </w:tc>
        <w:tc>
          <w:tcPr>
            <w:tcW w:w="2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w:t>
            </w:r>
          </w:p>
        </w:tc>
        <w:tc>
          <w:tcPr>
            <w:tcW w:w="12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46.5</w:t>
            </w:r>
          </w:p>
        </w:tc>
        <w:tc>
          <w:tcPr>
            <w:tcW w:w="1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53.0</w:t>
            </w:r>
          </w:p>
        </w:tc>
      </w:tr>
      <w:tr>
        <w:trPr>
          <w:trHeight w:val="27"/>
        </w:trPr>
        <w:tc>
          <w:tcPr>
            <w:tcW w:w="53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equity-method investment</w:t>
            </w: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0.2</w:t>
            </w:r>
          </w:p>
        </w:tc>
      </w:tr>
      <w:tr>
        <w:trPr>
          <w:trHeight w:val="237"/>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ExlService Holdings, Inc. stockholders</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19.0</w:t>
            </w:r>
          </w:p>
        </w:tc>
        <w:tc>
          <w:tcPr>
            <w:tcW w:w="200" w:type="dxa"/>
            <w:vAlign w:val="bottom"/>
          </w:tcPr>
          <w:p>
            <w:pPr>
              <w:spacing w:after="0"/>
              <w:rPr>
                <w:sz w:val="20"/>
                <w:szCs w:val="20"/>
                <w:color w:val="auto"/>
              </w:rPr>
            </w:pPr>
          </w:p>
        </w:tc>
        <w:tc>
          <w:tcPr>
            <w:tcW w:w="52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15.3</w:t>
            </w:r>
          </w:p>
        </w:tc>
        <w:tc>
          <w:tcPr>
            <w:tcW w:w="120" w:type="dxa"/>
            <w:vAlign w:val="bottom"/>
          </w:tcPr>
          <w:p>
            <w:pPr>
              <w:spacing w:after="0"/>
              <w:rPr>
                <w:sz w:val="20"/>
                <w:szCs w:val="20"/>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46.3</w:t>
            </w:r>
          </w:p>
        </w:tc>
        <w:tc>
          <w:tcPr>
            <w:tcW w:w="100" w:type="dxa"/>
            <w:vAlign w:val="bottom"/>
          </w:tcPr>
          <w:p>
            <w:pPr>
              <w:spacing w:after="0"/>
              <w:rPr>
                <w:sz w:val="20"/>
                <w:szCs w:val="20"/>
                <w:color w:val="auto"/>
              </w:rPr>
            </w:pPr>
          </w:p>
        </w:tc>
        <w:tc>
          <w:tcPr>
            <w:tcW w:w="54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52.8</w:t>
            </w:r>
          </w:p>
        </w:tc>
      </w:tr>
      <w:tr>
        <w:trPr>
          <w:trHeight w:val="27"/>
        </w:trPr>
        <w:tc>
          <w:tcPr>
            <w:tcW w:w="53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5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6"/>
          <w:szCs w:val="16"/>
          <w:i w:val="1"/>
          <w:iCs w:val="1"/>
          <w:color w:val="auto"/>
        </w:rPr>
        <w:t>(1) Exclusive of depreciation and amortization.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3" w:right="239" w:bottom="1440" w:gutter="0" w:footer="0" w:header="0"/>
          <w:type w:val="continuous"/>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2019 Compared to Three Months Ended September 30, 2018</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 for the three months ended September 30, 2019 and 2018:</w:t>
      </w:r>
    </w:p>
    <w:p>
      <w:pPr>
        <w:spacing w:after="0" w:line="33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right"/>
              <w:ind w:right="354"/>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8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Transportation and Logistics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251.4</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231.1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Revenues for the three months ended September 30, 2019 were $251.4 million, up $20.3 million, or 8.8%, compared to the three months ended September 30, 2018.</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Insurance of $13.4 million was primarily driven by expansion of business from our new and existing clients of $13.9 million. This was partially offset by $0.5 million mainly attributable to the depreciation of the Australian dollar and U.K. pound sterling against the U.S. dollar during the three months ended September 30, 2019 compared to the three months ended September 30, 2018. Insurance revenues were 30.9% and 27.8% of our total revenues in the three months ended September 30, 2019 and September 30, 2018, respectively.</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growth in Healthcare of $3.6 million was primarily driven by expansion of business from our new and existing clients of $4.4 million. This was partially offset by lower revenues from our Health Integrated business of $0.8 million. Healthcare revenues were 9.5% and 8.8% of our total revenues in the three months ended September 30, 2019 and September 30, 2018, respectively.</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decline in Travel, Transportation and Logistics ("TT&amp;L") of $0.3 million was primarily driven by impact of lower volumes in our existing clients of $0.3 million. TT&amp;L revenues were 6.7% and 7.5% of our total revenues in the three months ended September 30, 2019 and September 30, 2018, respectively.</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Finance and Accounting ("F&amp;A") of $2.0 million was driven by expansion of business from our new and existing clients of $2.1 million. This was partially offset by $0.1 million mainly attributable to the depreciation of the U.K pound sterling against the U.S. dollar during the three months ended September 30, 2019 compared to the three months ended September 30, 2018. F&amp;A revenues were 10.6% of each of our total revenues in the three months ended September 30, 2019 and September 30, 2018.</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decline in All Other of $4.5 million was primarily driven by lower revenue of $3.9 million in our Consulting operating segment, $1.4 million in our Utilities operating segment, partially offset by higher revenue of $0.9 million in our Banking and Financial Services operating segment. The remaining decrease of $0.1 million was due to the depreciation of the U.K. pound sterling against the U.S. dollar during the three months ended September 30, 2019 compared to the three months ended September 30, 2018. All Other revenues were 6.9% and 9.5% of our total revenues in the three months ended September 30, 2019 and September 30, 2018, respectively.</w:t>
      </w:r>
    </w:p>
    <w:p>
      <w:pPr>
        <w:spacing w:after="0" w:line="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Analytics of $6.1 million was attributable to our recurring and project-based engagements from our existing clients of $6.4 million. This was partially offset by $0.3 million attributable to the depreciation of the U.K. pound sterling against the U.S. dollar during the three months ended September 30, 2019 compared to the three months ended September 30, 2018. Analytics revenues were 35.3% and 35.8% of our total revenues in the three months ended September 30, 2019 and September 30, 2018, respectively.</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3"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30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22"/>
                <w:szCs w:val="22"/>
                <w:color w:val="auto"/>
              </w:rPr>
            </w:pPr>
          </w:p>
        </w:tc>
        <w:tc>
          <w:tcPr>
            <w:tcW w:w="8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2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00" w:type="dxa"/>
            <w:vAlign w:val="bottom"/>
            <w:tcBorders>
              <w:top w:val="single" w:sz="8" w:color="auto"/>
            </w:tcBorders>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0" w:type="dxa"/>
            <w:vAlign w:val="bottom"/>
            <w:gridSpan w:val="5"/>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TT&amp;L</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F&amp;A</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152.2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cost of revenues was $167.5 million compared to $152.2 million for the three months ended September 30, 2018, an increase of $15.3 million, or 10.1%. Our gross margin for the three months ended September 30, 2019 was 33.4% compared to 34.2% for three months ended September 30, 2018, a decrease of 80 basis points (“bps”).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Insurance of $8.0 million was primarily due to an increase in employee-related costs of $7.2 million on account of higher headcount and wage inflation, increase in technology, travel and infrastructure costs of $1.5 million, partially offset by decrease in other operating costs of $0.2 million and currency movements, net of hedging of $0.5 million. Gross margin in Insurance increased by 140 bps during the three months ended September 30, 2019 compared to the three months ended September 30, 2018, primarily due to higher revenues.</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Healthcare of $3.6 million was primarily due to an increase in employee-related costs of $3.5 million on account of higher headcount and wage inflation, increase in technology and travel costs of $0.6 million, partially offset by lower other operating costs of $0.2 million and currency movements, net of hedging of $0.3 million. Gross margin in Healthcare decreased by 340 bps during the three months ended September 30, 2019 compared to the three months ended September 30, 2018, primarily due to higher employee costs in our existing clients and higher operating expenses associated with the initiation of services for new clients.</w:t>
      </w:r>
    </w:p>
    <w:p>
      <w:pPr>
        <w:spacing w:after="0" w:line="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TT&amp;L of $0.2 million was primarily due to currency movements, net of hedging of $0.2 million. Gross margin in TT&amp;L decreased by 20 bps during the three months ended September 30, 2019 compared to the three months ended September 30, 2018, primarily due to lower volumes in existing clients.</w:t>
      </w:r>
    </w:p>
    <w:p>
      <w:pPr>
        <w:spacing w:after="0" w:line="6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in F&amp;A of $1.7 million was primarily due to higher employee-related costs of $1.4 million and travel costs of $0.3 million. Gross margin in F&amp;A decreased by 190 bps during the three months ended September 30, 2019 compared to the three months ended September 30, 2018, primarily due to higher operating expenses associated with the initiation of services for new clients.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All Other of $2.0 million was primarily due to a decrease in employee-related costs of $1.8 million, and net decrease in other operating costs of $0.1 million and currency movements, net of hedging of $0.1 million. Gross margin in All Other decreased by 560 bps during the three months ended September 30, 2019 compared to the three months ended September 30, 2018, primarily due to lower revenues in our Consulting and Utilities operating segments.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cost of revenues in Analytics of $4.2 million was primarily due to an increase in employee-related costs of $6.2 million on account of higher headcount and wage inflation, partially offset by lower other operating costs of $1.6 million and currency movements, net of hedging of $0.4 million. Gross margin in Analytics decreased by 30 bps during the three months ended September 30, 2019 compared to the three months ended September 30, 2018.</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333"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20" w:type="dxa"/>
            <w:vAlign w:val="bottom"/>
          </w:tcPr>
          <w:p>
            <w:pPr>
              <w:spacing w:after="0"/>
              <w:rPr>
                <w:sz w:val="16"/>
                <w:szCs w:val="16"/>
                <w:color w:val="auto"/>
              </w:rPr>
            </w:pPr>
          </w:p>
        </w:tc>
        <w:tc>
          <w:tcPr>
            <w:tcW w:w="3240" w:type="dxa"/>
            <w:vAlign w:val="bottom"/>
            <w:gridSpan w:val="6"/>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10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5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
        </w:trPr>
        <w:tc>
          <w:tcPr>
            <w:tcW w:w="55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2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78"/>
        </w:trPr>
        <w:tc>
          <w:tcPr>
            <w:tcW w:w="552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94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55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29.6</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860" w:type="dxa"/>
            <w:vAlign w:val="bottom"/>
          </w:tcPr>
          <w:p>
            <w:pPr>
              <w:spacing w:after="0"/>
              <w:rPr>
                <w:sz w:val="21"/>
                <w:szCs w:val="21"/>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18.3</w:t>
            </w: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47.9</w:t>
            </w:r>
          </w:p>
        </w:tc>
        <w:tc>
          <w:tcPr>
            <w:tcW w:w="2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19.1%</w:t>
            </w: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SG&amp;A expenses of $2.8 million was primarily due to an increase in employee-related costs of $4.6 million and technology costs of $0.4 million. This was partially offset by lower infrastructure and travel costs of $1.4 million, other operating costs of $0.5 million and currency movements, net of hedging of $0.3 million.</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20" w:type="dxa"/>
            <w:vAlign w:val="bottom"/>
          </w:tcPr>
          <w:p>
            <w:pPr>
              <w:spacing w:after="0"/>
              <w:rPr>
                <w:sz w:val="16"/>
                <w:szCs w:val="16"/>
                <w:color w:val="auto"/>
              </w:rPr>
            </w:pPr>
          </w:p>
        </w:tc>
        <w:tc>
          <w:tcPr>
            <w:tcW w:w="3280" w:type="dxa"/>
            <w:vAlign w:val="bottom"/>
            <w:gridSpan w:val="6"/>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520" w:type="dxa"/>
            <w:vAlign w:val="bottom"/>
          </w:tcPr>
          <w:p>
            <w:pPr>
              <w:spacing w:after="0"/>
              <w:rPr>
                <w:sz w:val="5"/>
                <w:szCs w:val="5"/>
                <w:color w:val="auto"/>
              </w:rPr>
            </w:pP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940" w:type="dxa"/>
            <w:vAlign w:val="bottom"/>
            <w:tcBorders>
              <w:top w:val="single" w:sz="8" w:color="auto"/>
            </w:tcBorders>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5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5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4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940" w:type="dxa"/>
            <w:vAlign w:val="bottom"/>
          </w:tcPr>
          <w:p>
            <w:pPr>
              <w:spacing w:after="0"/>
              <w:rPr>
                <w:sz w:val="21"/>
                <w:szCs w:val="21"/>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2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intangibles amortization expense of $1.1 million was primarily due to higher amortization expense during the three months ended September 30, 2018 related to Health Integrated's intangible assets which were impaired during the fourth quarter of 2018, and our SCIO acquisition in July 2018. The increase in depreciation expense of $0.1 million was due to depreciation related to our new operating centers commenced during 2018 to support our business growth.</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Charges.</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260" w:type="dxa"/>
            <w:vAlign w:val="bottom"/>
          </w:tcPr>
          <w:p>
            <w:pPr>
              <w:spacing w:after="0"/>
              <w:rPr>
                <w:sz w:val="16"/>
                <w:szCs w:val="16"/>
                <w:color w:val="auto"/>
              </w:rPr>
            </w:pPr>
          </w:p>
        </w:tc>
        <w:tc>
          <w:tcPr>
            <w:tcW w:w="2760" w:type="dxa"/>
            <w:vAlign w:val="bottom"/>
            <w:tcBorders>
              <w:bottom w:val="single" w:sz="8" w:color="auto"/>
            </w:tcBorders>
            <w:gridSpan w:val="4"/>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2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50"/>
        </w:trPr>
        <w:tc>
          <w:tcPr>
            <w:tcW w:w="5260" w:type="dxa"/>
            <w:vAlign w:val="bottom"/>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800" w:type="dxa"/>
            <w:vAlign w:val="bottom"/>
            <w:tcBorders>
              <w:top w:val="single" w:sz="8" w:color="auto"/>
            </w:tcBorders>
            <w:gridSpan w:val="3"/>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75"/>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960" w:type="dxa"/>
            <w:vAlign w:val="bottom"/>
            <w:tcBorders>
              <w:bottom w:val="single" w:sz="8" w:color="CCEEFF"/>
            </w:tcBorders>
            <w:shd w:val="clear" w:color="auto" w:fill="CCEEFF"/>
          </w:tcPr>
          <w:p>
            <w:pPr>
              <w:jc w:val="right"/>
              <w:ind w:right="762"/>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29, 2019, we commenced the process of substantially winding down of the operations of our Health Integrated business, which is reported within the Healthcare reportable segment. During the three months ended September 30, 2019, we recorded restructuring charges of $0.5 million in connection with the wind down process. See Note 24 to our unaudited consolidated financial statements for details.</w:t>
      </w:r>
    </w:p>
    <w:p>
      <w:pPr>
        <w:spacing w:after="0" w:line="17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$2.7 million, or 14.0%, from $19.7 million for the three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to $22.4 million for the three months ended September 30, 2019. As a percentage of revenues, income from operations increased from 8.5% for the three months ended September 30, 2018 to 8.9% for the three months ended September 30, 2019.</w:t>
      </w:r>
    </w:p>
    <w:p>
      <w:pPr>
        <w:spacing w:after="0" w:line="279"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the three months ended September 30, 2019. The average exchange rate of the U.S. dollar against the Indian rupee decreased from 70.67 during the three months ended September 30, 2018 to 70.35 during the three months ended September 30, 2019. The average exchange rate of the U.K. pound sterling against the U.S. dollar decreased from 1.31 during the three months ended September 30, 2018 to 1.22 during the three months ended September 30, 2019. The average exchange rate of the U.S. dollar against the Philippine peso decreased from 53.53 during the three months ended September 30, 2018 to 51.59 during the three months ended September 30, 2019.</w:t>
      </w:r>
    </w:p>
    <w:p>
      <w:pPr>
        <w:sectPr>
          <w:pgSz w:w="11900" w:h="16838" w:orient="portrait"/>
          <w:cols w:equalWidth="0" w:num="1">
            <w:col w:w="11420"/>
          </w:cols>
          <w:pgMar w:left="240" w:top="333"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333" w:right="239" w:bottom="1440" w:gutter="0" w:footer="0" w:header="0"/>
          <w:type w:val="continuous"/>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$1.0 million for the three months ended September 30, 2019 compared to the net foreign exchange gain of $1.4 million for the three months ended September 30, 2018.</w:t>
      </w:r>
    </w:p>
    <w:p>
      <w:pPr>
        <w:spacing w:after="0" w:line="158" w:lineRule="exact"/>
        <w:rPr>
          <w:sz w:val="20"/>
          <w:szCs w:val="20"/>
          <w:color w:val="auto"/>
        </w:rPr>
      </w:pPr>
    </w:p>
    <w:p>
      <w:pPr>
        <w:jc w:val="both"/>
        <w:ind w:right="2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from $2.5 million for the three months ended September 30, 2018 to $3.2 million for the three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2019 primarily due to interest on our convertible notes and higher effective interest rates on our revolver credit facility.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52" w:lineRule="exact"/>
        <w:rPr>
          <w:sz w:val="20"/>
          <w:szCs w:val="20"/>
          <w:color w:val="auto"/>
        </w:rPr>
      </w:pPr>
    </w:p>
    <w:tbl>
      <w:tblPr>
        <w:tblLayout w:type="fixed"/>
        <w:tblInd w:w="80" w:type="dxa"/>
        <w:tblCellMar>
          <w:top w:w="0" w:type="dxa"/>
          <w:left w:w="0" w:type="dxa"/>
          <w:bottom w:w="0" w:type="dxa"/>
          <w:right w:w="0" w:type="dxa"/>
        </w:tblCellMar>
      </w:tblPr>
      <w:tr>
        <w:trPr>
          <w:trHeight w:val="195"/>
        </w:trPr>
        <w:tc>
          <w:tcPr>
            <w:tcW w:w="5700" w:type="dxa"/>
            <w:vAlign w:val="bottom"/>
          </w:tcPr>
          <w:p>
            <w:pPr>
              <w:spacing w:after="0"/>
              <w:rPr>
                <w:sz w:val="16"/>
                <w:szCs w:val="16"/>
                <w:color w:val="auto"/>
              </w:rPr>
            </w:pPr>
          </w:p>
        </w:tc>
        <w:tc>
          <w:tcPr>
            <w:tcW w:w="2820" w:type="dxa"/>
            <w:vAlign w:val="bottom"/>
            <w:gridSpan w:val="6"/>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8"/>
        </w:trPr>
        <w:tc>
          <w:tcPr>
            <w:tcW w:w="5700" w:type="dxa"/>
            <w:vAlign w:val="bottom"/>
          </w:tcPr>
          <w:p>
            <w:pPr>
              <w:spacing w:after="0"/>
              <w:rPr>
                <w:sz w:val="5"/>
                <w:szCs w:val="5"/>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46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57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36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tcPr>
          <w:p>
            <w:pPr>
              <w:spacing w:after="0"/>
              <w:rPr>
                <w:sz w:val="21"/>
                <w:szCs w:val="21"/>
                <w:color w:val="auto"/>
              </w:rPr>
            </w:pPr>
          </w:p>
        </w:tc>
        <w:tc>
          <w:tcPr>
            <w:tcW w:w="780" w:type="dxa"/>
            <w:vAlign w:val="bottom"/>
            <w:tcBorders>
              <w:top w:val="single" w:sz="8" w:color="auto"/>
              <w:bottom w:val="single" w:sz="8" w:color="auto"/>
            </w:tcBorders>
          </w:tcPr>
          <w:p>
            <w:pPr>
              <w:spacing w:after="0"/>
              <w:rPr>
                <w:sz w:val="21"/>
                <w:szCs w:val="21"/>
                <w:color w:val="auto"/>
              </w:rPr>
            </w:pPr>
          </w:p>
        </w:tc>
        <w:tc>
          <w:tcPr>
            <w:tcW w:w="1460" w:type="dxa"/>
            <w:vAlign w:val="bottom"/>
            <w:tcBorders>
              <w:top w:val="single" w:sz="8" w:color="auto"/>
              <w:bottom w:val="single" w:sz="8" w:color="auto"/>
            </w:tcBorders>
            <w:gridSpan w:val="3"/>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60" w:type="dxa"/>
            <w:vAlign w:val="bottom"/>
            <w:tcBorders>
              <w:top w:val="single" w:sz="8" w:color="auto"/>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06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780" w:type="dxa"/>
            <w:vAlign w:val="bottom"/>
            <w:tcBorders>
              <w:bottom w:val="single" w:sz="8" w:color="CCEEFF"/>
            </w:tcBorders>
            <w:shd w:val="clear" w:color="auto" w:fill="CCEEFF"/>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47.5 %</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80" w:type="dxa"/>
            <w:vAlign w:val="bottom"/>
          </w:tcPr>
          <w:p>
            <w:pPr>
              <w:spacing w:after="0"/>
              <w:rPr>
                <w:sz w:val="21"/>
                <w:szCs w:val="21"/>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net</w:t>
            </w:r>
          </w:p>
        </w:tc>
        <w:tc>
          <w:tcPr>
            <w:tcW w:w="7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(462.0)%</w:t>
            </w:r>
          </w:p>
        </w:tc>
        <w:tc>
          <w:tcPr>
            <w:tcW w:w="0" w:type="dxa"/>
            <w:vAlign w:val="bottom"/>
          </w:tcPr>
          <w:p>
            <w:pPr>
              <w:spacing w:after="0"/>
              <w:rPr>
                <w:sz w:val="1"/>
                <w:szCs w:val="1"/>
                <w:color w:val="auto"/>
              </w:rPr>
            </w:pPr>
          </w:p>
        </w:tc>
      </w:tr>
      <w:tr>
        <w:trPr>
          <w:trHeight w:val="237"/>
        </w:trPr>
        <w:tc>
          <w:tcPr>
            <w:tcW w:w="5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net</w:t>
            </w:r>
          </w:p>
        </w:tc>
        <w:tc>
          <w:tcPr>
            <w:tcW w:w="780" w:type="dxa"/>
            <w:vAlign w:val="bottom"/>
            <w:tcBorders>
              <w:top w:val="single" w:sz="8" w:color="auto"/>
            </w:tcBorders>
          </w:tcPr>
          <w:p>
            <w:pPr>
              <w:jc w:val="right"/>
              <w:ind w:right="5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0"/>
                <w:szCs w:val="20"/>
                <w:color w:val="auto"/>
              </w:rPr>
            </w:pPr>
          </w:p>
        </w:tc>
        <w:tc>
          <w:tcPr>
            <w:tcW w:w="880" w:type="dxa"/>
            <w:vAlign w:val="bottom"/>
            <w:tcBorders>
              <w:top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Other income, net increased by $2.1 million, from $2.5 million for the three months ended September 30, 2018 to $4.6 million for the three months ended September 30, 2019, primarily due to higher return on our mutual fund investments of $1.0 million and increase in one-time other income of $0.8 million related to our Health Integrated acquisition for the three months ended September 30, 2019 compared to the three months ended September 30, 2018.</w:t>
      </w:r>
    </w:p>
    <w:p>
      <w:pPr>
        <w:spacing w:after="0" w:line="172"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$5.7 million each for the three months ended September 30, 2019 and 2018. The effective tax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rate decreased from 27.3% during the three months ended September 30, 2018 to 23.0% during the three months ended September 30, 2019, primarily due to the benefits from higher tax incentives in India and the U.S. and lower tax rates for qualifying Indian subsidiaries, offset by lower excess tax benefit during the three months ended September 30, 2019.</w:t>
      </w:r>
    </w:p>
    <w:p>
      <w:pPr>
        <w:spacing w:after="0" w:line="177" w:lineRule="exact"/>
        <w:rPr>
          <w:sz w:val="20"/>
          <w:szCs w:val="20"/>
          <w:color w:val="auto"/>
        </w:rPr>
      </w:pPr>
    </w:p>
    <w:p>
      <w:pPr>
        <w:jc w:val="both"/>
        <w:ind w:right="20"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increased from $15.3 million for the three months ended September 30, 2018 to $19.0 million for the three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primarily due to increase in income from operations of $2.7 million, higher other income, net of $2.1 million, partially offset by higher interest expense of $0.7 million and lower foreign exchange gain of $0.4 million. As a percentage of revenues, net income increased from 6.6% for the three months ended September 30, 2018 to 7.6% for the three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333"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474345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2019 Compared to Nine Months Ended September 30, 2018</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revenues by reportable segments for the nine months ended September 30, 2019 and 2018:</w:t>
      </w:r>
    </w:p>
    <w:p>
      <w:pPr>
        <w:spacing w:after="0" w:line="33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bl>
      <w:tblPr>
        <w:tblLayout w:type="fixed"/>
        <w:tblInd w:w="220" w:type="dxa"/>
        <w:tblCellMar>
          <w:top w:w="0" w:type="dxa"/>
          <w:left w:w="0" w:type="dxa"/>
          <w:bottom w:w="0" w:type="dxa"/>
          <w:right w:w="0" w:type="dxa"/>
        </w:tblCellMar>
      </w:tblPr>
      <w:tr>
        <w:trPr>
          <w:trHeight w:val="47"/>
        </w:trPr>
        <w:tc>
          <w:tcPr>
            <w:tcW w:w="4860" w:type="dxa"/>
            <w:vAlign w:val="bottom"/>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vMerge w:val="restart"/>
          </w:tcPr>
          <w:p>
            <w:pPr>
              <w:jc w:val="right"/>
              <w:ind w:right="354"/>
              <w:spacing w:after="0" w:line="131" w:lineRule="exact"/>
              <w:rPr>
                <w:sz w:val="20"/>
                <w:szCs w:val="20"/>
                <w:color w:val="auto"/>
              </w:rPr>
            </w:pPr>
            <w:r>
              <w:rPr>
                <w:rFonts w:ascii="Times New Roman" w:cs="Times New Roman" w:eastAsia="Times New Roman" w:hAnsi="Times New Roman"/>
                <w:sz w:val="14"/>
                <w:szCs w:val="14"/>
                <w:b w:val="1"/>
                <w:bCs w:val="1"/>
                <w:color w:val="auto"/>
              </w:rPr>
              <w:t>Percentage</w:t>
            </w:r>
          </w:p>
        </w:tc>
        <w:tc>
          <w:tcPr>
            <w:tcW w:w="0" w:type="dxa"/>
            <w:vAlign w:val="bottom"/>
          </w:tcPr>
          <w:p>
            <w:pPr>
              <w:spacing w:after="0"/>
              <w:rPr>
                <w:sz w:val="1"/>
                <w:szCs w:val="1"/>
                <w:color w:val="auto"/>
              </w:rPr>
            </w:pPr>
          </w:p>
        </w:tc>
      </w:tr>
      <w:tr>
        <w:trPr>
          <w:trHeight w:val="63"/>
        </w:trPr>
        <w:tc>
          <w:tcPr>
            <w:tcW w:w="4860" w:type="dxa"/>
            <w:vAlign w:val="bottom"/>
          </w:tcPr>
          <w:p>
            <w:pPr>
              <w:spacing w:after="0"/>
              <w:rPr>
                <w:sz w:val="5"/>
                <w:szCs w:val="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2"/>
              </w:rPr>
              <w:t>2018</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486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486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219.0</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13.5 %</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Travel, Transportation and Logistics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and Accounting</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78.7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8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263.6</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734.5</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86.3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Revenues for the nine months ended September 30, 2019 were $734.5 million, up $86.3 million, or 13.3%, compared to the nine months ended September 30, 2018.</w:t>
      </w:r>
    </w:p>
    <w:p>
      <w:pPr>
        <w:spacing w:after="0" w:line="54"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Insurance of $26.0 million was primarily driven by expansion of business from our new and existing clients of $28.5 million. This was partially offset by $2.5 million mainly attributable to the depreciation of the Australian dollar, Indian rupee and U.K. pound sterling against the U.S. dollar during the nine months ended September 30, 2019 compared to the nine months ended September 30, 2018. Insurance revenues were 29.8% each of our total revenues in the nine months ended September 30, 2019 and September 30, 2018.</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Revenue increase in Healthcare of $1.6 million was primarily driven by expansion of business from our new and existing clients of $9.6 million, partially offset by lower revenues from our Health Integrated business of $8.0 million. Healthcare revenues were 8.8% and 9.7% of our total revenues in the nine months ended September 30, 2019 and September 30, 2018, respectively.</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decline in Travel, Transportation and Logistics ("TT&amp;L") of $1.5 million was primarily driven by $1.1 million attributable to net lower volumes and $0.4 million attributable to the depreciation of the Indian rupee against the U.S. dollar during the nine months ended September 30, 2019 compared to the nine months ended September 30, 2018. TT&amp;L revenues were 7.1% and 8.2% of our total revenues in the nine months ended September 30, 2019 and September 30, 2018, respectively.</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Revenue growth in Finance and Accounting ("F&amp;A") of $6.0 million was driven by net volume increases from our new and existing clients of $7.0 million. This was partially offset by $1.0 million mainly attributable to the depreciation of the Indian rupee, U.K. pound sterling and Australian dollar against the U.S. dollar during the nine months ended September 30, 2019 compared to the nine months ended September 30, 2018. F&amp;A revenues were 10.7% and 11.2% of our total revenues in the nine months ended September 30, 2019 and September 30, 2018, respectively.</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decline in All Other of $10.0 million was primarily driven by lower revenues of $6.6 million in our Consulting operating segment, $1.7 million in our Utilities operating segment and $0.3 million in our Banking and Financial Services operating segment. Further decline of $1.4 million was due to the depreciation of the Indian rupee and U.K. pound sterling against the U.S. dollar during the nine months ended September 30, 2019 compared to the nine months ended September 30, 2018. All Other revenues were 7.7% and 10.3% of our total revenues in the nine months ended September 30, 2019 and September 30, 2018, respectively.</w:t>
      </w:r>
    </w:p>
    <w:p>
      <w:pPr>
        <w:spacing w:after="0" w:line="76"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Revenue growth in Analytics of $64.2 million was primarily driven by our acquisition of SCIO in July 2018 contributing $37.9 million during the six months ended June 30, 2019. The remaining increase of $27.5 million was attributable to our recurring and project-based engagements from our new and existing clients. This was partially offset by $1.2 million attributable to the depreciation of the U.K. pound sterling and Indian rupee against the U.S. dollar during the nine months ended September 30, 2019 compared to the nine months ended September 30, 2018. Analytics revenues were 35.9% and 30.8% of our total revenues in the nine months ended September 30, 2019 and September 30, 2018, respectively.</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20"/>
          </w:cols>
          <w:pgMar w:left="240" w:top="333" w:right="2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 and Gross Margin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following table sets forth cost of revenues and gross margin of our reportable segments.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Cost of Revenues</w:t>
            </w: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306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0" w:type="dxa"/>
            <w:vAlign w:val="bottom"/>
          </w:tcPr>
          <w:p>
            <w:pPr>
              <w:spacing w:after="0"/>
              <w:rPr>
                <w:sz w:val="22"/>
                <w:szCs w:val="22"/>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3220" w:type="dxa"/>
            <w:vAlign w:val="bottom"/>
            <w:gridSpan w:val="4"/>
          </w:tcPr>
          <w:p>
            <w:pPr>
              <w:ind w:left="5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68"/>
        </w:trPr>
        <w:tc>
          <w:tcPr>
            <w:tcW w:w="1860" w:type="dxa"/>
            <w:vAlign w:val="bottom"/>
          </w:tcPr>
          <w:p>
            <w:pPr>
              <w:spacing w:after="0"/>
              <w:rPr>
                <w:sz w:val="5"/>
                <w:szCs w:val="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100" w:type="dxa"/>
            <w:vAlign w:val="bottom"/>
            <w:tcBorders>
              <w:top w:val="single" w:sz="8" w:color="auto"/>
            </w:tcBorders>
            <w:vMerge w:val="restart"/>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500" w:type="dxa"/>
            <w:vAlign w:val="bottom"/>
            <w:tcBorders>
              <w:top w:val="single" w:sz="8" w:color="auto"/>
            </w:tcBorders>
            <w:vMerge w:val="restart"/>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top w:val="single" w:sz="8" w:color="auto"/>
            </w:tcBorders>
          </w:tcPr>
          <w:p>
            <w:pPr>
              <w:spacing w:after="0"/>
              <w:rPr>
                <w:sz w:val="5"/>
                <w:szCs w:val="5"/>
                <w:color w:val="auto"/>
              </w:rPr>
            </w:pPr>
          </w:p>
        </w:tc>
        <w:tc>
          <w:tcPr>
            <w:tcW w:w="1500" w:type="dxa"/>
            <w:vAlign w:val="bottom"/>
            <w:tcBorders>
              <w:top w:val="single" w:sz="8" w:color="auto"/>
            </w:tcBorders>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2018</w:t>
            </w:r>
          </w:p>
        </w:tc>
        <w:tc>
          <w:tcPr>
            <w:tcW w:w="1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8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0" w:type="dxa"/>
            <w:vAlign w:val="bottom"/>
            <w:gridSpan w:val="5"/>
          </w:tcPr>
          <w:p>
            <w:pPr>
              <w:jc w:val="center"/>
              <w:ind w:right="9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Healthcare</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TT&amp;L</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F&amp;A</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7"/>
        </w:trPr>
        <w:tc>
          <w:tcPr>
            <w:tcW w:w="186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 Other</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43"/>
        </w:trPr>
        <w:tc>
          <w:tcPr>
            <w:tcW w:w="1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Analytics</w:t>
            </w:r>
          </w:p>
        </w:tc>
        <w:tc>
          <w:tcPr>
            <w:tcW w:w="860" w:type="dxa"/>
            <w:vAlign w:val="bottom"/>
          </w:tcPr>
          <w:p>
            <w:pPr>
              <w:spacing w:after="0"/>
              <w:rPr>
                <w:sz w:val="21"/>
                <w:szCs w:val="21"/>
                <w:color w:val="auto"/>
              </w:rPr>
            </w:pPr>
          </w:p>
        </w:tc>
        <w:tc>
          <w:tcPr>
            <w:tcW w:w="5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130.4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41.8</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32.1 %</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0" w:type="dxa"/>
            <w:vAlign w:val="bottom"/>
          </w:tcPr>
          <w:p>
            <w:pPr>
              <w:spacing w:after="0"/>
              <w:rPr>
                <w:sz w:val="1"/>
                <w:szCs w:val="1"/>
                <w:color w:val="auto"/>
              </w:rPr>
            </w:pPr>
          </w:p>
        </w:tc>
      </w:tr>
      <w:tr>
        <w:trPr>
          <w:trHeight w:val="27"/>
        </w:trPr>
        <w:tc>
          <w:tcPr>
            <w:tcW w:w="18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487.2</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429.9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57.3</w:t>
            </w:r>
          </w:p>
        </w:tc>
        <w:tc>
          <w:tcPr>
            <w:tcW w:w="1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13.3 %</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0"/>
        </w:trPr>
        <w:tc>
          <w:tcPr>
            <w:tcW w:w="18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both"/>
        <w:ind w:firstLine="405"/>
        <w:spacing w:after="0" w:line="275" w:lineRule="auto"/>
        <w:rPr>
          <w:sz w:val="20"/>
          <w:szCs w:val="20"/>
          <w:color w:val="auto"/>
        </w:rPr>
      </w:pPr>
      <w:r>
        <w:rPr>
          <w:rFonts w:ascii="Times New Roman" w:cs="Times New Roman" w:eastAsia="Times New Roman" w:hAnsi="Times New Roman"/>
          <w:sz w:val="18"/>
          <w:szCs w:val="18"/>
          <w:color w:val="auto"/>
        </w:rPr>
        <w:t>For the nine months ended September 30, 2019, cost of revenues was $487.2 million compared to $429.9 million for the nine months ended September 30, 2018, an increase of $57.3 million, or 13.3%. Our gross margin was 33.7% for both the nine months ended September 30, 2019 and September 30, 2018.</w:t>
      </w:r>
    </w:p>
    <w:p>
      <w:pPr>
        <w:spacing w:after="0" w:line="28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Insurance of $18.1 million was primarily due to an increase in employee-related costs of $18.8 million on account of higher headcount and wage inflation and increase in technology, travel and infrastructure cost of $3.4 million. This was partially offset by lower other operating costs of $2.0 million and currency movements, net of hedging of $2.1 million. Gross margin in Insurance decreased by 30 bps during the nine months ended September 30, 2019 compared to the nine months ended September 30, 2018, primarily due to higher operating expenses associated with the initiation of services for new clients.</w:t>
      </w:r>
    </w:p>
    <w:p>
      <w:pPr>
        <w:spacing w:after="0" w:line="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Healthcare of $3.5 million was primarily due to an increase in employee-related costs of $4.5 million, technology and travel costs of $0.7 million, partially offset by currency movements, net of hedging of $0.9 million and lower other operating costs of $0.8 million. Gross margin in Healthcare decreased by 350 bps during the nine months ended September 30, 2019 compared to the nine months ended September 30, 2018, primarily due to the impact of our Health Integrated business and higher employee-related costs.</w:t>
      </w:r>
    </w:p>
    <w:p>
      <w:pPr>
        <w:spacing w:after="0" w:line="7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decrease in cost of revenues in TT&amp;L of $1.4 million was primarily due to lower infrastructure and other operating costs of $0.8 million and currency movements, net of hedging of $0.6 million. Gross margin in TT&amp;L increased by 120 bps during the nine months ended September 30, 2019 compared to the nine months ended September 30, 2018, primarily due to lower operating expenses.</w:t>
      </w:r>
    </w:p>
    <w:p>
      <w:pPr>
        <w:spacing w:after="0" w:line="6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cost of revenues in F&amp;A of $2.7 million was primarily due to an increase in employee-related costs of $3.2 million on account of higher headcount and wage inflation, partially offset by currency movements, net of hedging of $0.4 million and lower other operating costs of $0.1 million. Gross margin in F&amp;A increased by 120 bps during the nine months ended September 30, 2019 compared to the nine months ended September 30, 2018, primarily due to higher margin in existing clients and lower operating expenses.</w:t>
      </w:r>
    </w:p>
    <w:p>
      <w:pPr>
        <w:spacing w:after="0" w:line="72"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decrease in cost of revenues in All Other of $7.4 million was primarily due to a decrease in employee-related costs of $5.3 million, lower travel, infrastructure and other operating costs of $1.3 million and currency movements, net of hedging of $0.8 million. Gross margin in All Other increased by 120 bps during the nine months ended September 30, 2019 compared to the nine months ended September 30, 2018, primarily due to better utilization in Banking and Financial Services operating segment and margin improvement in Utilities operating segment.</w:t>
      </w:r>
    </w:p>
    <w:p>
      <w:pPr>
        <w:spacing w:after="0" w:line="72"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increase in cost of revenues in Analytics of $41.8 million was primarily due to an increase in employee-related costs of $37.6 million on account of higher headcount and wage inflation, including incremental cost related to our acquisition of SCIO in July 2018 of $20.0 million during the six months ended June 30, 2019. The remaining increase was attributable to other operating costs of $5.8 million, partially offset by currency movements, net of hedging of $1.6 million. Gross margin in Analytics increased by 10 bps during the nine months ended September 30, 2019 compared to the nine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333" w:right="23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(“SG&amp;A”) Expenses.</w:t>
      </w:r>
    </w:p>
    <w:p>
      <w:pPr>
        <w:spacing w:after="0" w:line="19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40" w:type="dxa"/>
            <w:vAlign w:val="bottom"/>
          </w:tcPr>
          <w:p>
            <w:pPr>
              <w:spacing w:after="0"/>
              <w:rPr>
                <w:sz w:val="16"/>
                <w:szCs w:val="16"/>
                <w:color w:val="auto"/>
              </w:rPr>
            </w:pPr>
          </w:p>
        </w:tc>
        <w:tc>
          <w:tcPr>
            <w:tcW w:w="11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51"/>
        </w:trPr>
        <w:tc>
          <w:tcPr>
            <w:tcW w:w="556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00" w:type="dxa"/>
            <w:vAlign w:val="bottom"/>
            <w:gridSpan w:val="2"/>
            <w:vMerge w:val="continue"/>
          </w:tcPr>
          <w:p>
            <w:pPr>
              <w:spacing w:after="0"/>
              <w:rPr>
                <w:sz w:val="4"/>
                <w:szCs w:val="4"/>
                <w:color w:val="auto"/>
              </w:rPr>
            </w:pPr>
          </w:p>
        </w:tc>
        <w:tc>
          <w:tcPr>
            <w:tcW w:w="1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78"/>
        </w:trPr>
        <w:tc>
          <w:tcPr>
            <w:tcW w:w="5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60" w:type="dxa"/>
            <w:vAlign w:val="bottom"/>
            <w:vMerge w:val="restart"/>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80" w:type="dxa"/>
            <w:vAlign w:val="bottom"/>
            <w:vMerge w:val="restart"/>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4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55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85.6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80" w:type="dxa"/>
            <w:vAlign w:val="bottom"/>
          </w:tcPr>
          <w:p>
            <w:pPr>
              <w:spacing w:after="0"/>
              <w:rPr>
                <w:sz w:val="21"/>
                <w:szCs w:val="21"/>
                <w:color w:val="auto"/>
              </w:rPr>
            </w:pPr>
          </w:p>
        </w:tc>
        <w:tc>
          <w:tcPr>
            <w:tcW w:w="1160" w:type="dxa"/>
            <w:vAlign w:val="bottom"/>
          </w:tcPr>
          <w:p>
            <w:pPr>
              <w:jc w:val="right"/>
              <w:ind w:right="118"/>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8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8"/>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increase in SG&amp;A expenses of $16.2 million was primarily due to an increase in employee-related costs of $17.1 million, including incremental costs related to our SCIO acquisition in July 2018 of $7.3 million and net increase in other operating costs of $0.6 million. This was partially offset by currency movements, net of hedging of $1.5 million.</w:t>
      </w:r>
    </w:p>
    <w:p>
      <w:pPr>
        <w:spacing w:after="0" w:line="2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3"/>
        </w:trPr>
        <w:tc>
          <w:tcPr>
            <w:tcW w:w="5560" w:type="dxa"/>
            <w:vAlign w:val="bottom"/>
          </w:tcPr>
          <w:p>
            <w:pPr>
              <w:spacing w:after="0"/>
              <w:rPr>
                <w:sz w:val="7"/>
                <w:szCs w:val="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restart"/>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420" w:type="dxa"/>
            <w:vAlign w:val="bottom"/>
            <w:vMerge w:val="restart"/>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Percentage change</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5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72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4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amortization expense</w:t>
            </w:r>
          </w:p>
        </w:tc>
        <w:tc>
          <w:tcPr>
            <w:tcW w:w="940" w:type="dxa"/>
            <w:vAlign w:val="bottom"/>
          </w:tcPr>
          <w:p>
            <w:pPr>
              <w:spacing w:after="0"/>
              <w:rPr>
                <w:sz w:val="21"/>
                <w:szCs w:val="21"/>
                <w:color w:val="auto"/>
              </w:rPr>
            </w:pPr>
          </w:p>
        </w:tc>
        <w:tc>
          <w:tcPr>
            <w:tcW w:w="60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5"/>
              </w:rPr>
              <w:t>14.4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940" w:type="dxa"/>
            <w:vAlign w:val="bottom"/>
            <w:tcBorders>
              <w:bottom w:val="single" w:sz="8" w:color="CCEEFF"/>
            </w:tcBorders>
            <w:shd w:val="clear" w:color="auto" w:fill="CCEEFF"/>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95"/>
              </w:rPr>
              <w:t>35.2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60" w:type="dxa"/>
            <w:vAlign w:val="bottom"/>
            <w:vMerge w:val="continue"/>
          </w:tcPr>
          <w:p>
            <w:pPr>
              <w:spacing w:after="0"/>
              <w:rPr>
                <w:sz w:val="19"/>
                <w:szCs w:val="19"/>
                <w:color w:val="auto"/>
              </w:rPr>
            </w:pPr>
          </w:p>
        </w:tc>
        <w:tc>
          <w:tcPr>
            <w:tcW w:w="9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increase in intangibles amortization expense of $2.2 million was primarily due to an increase in amortization of intangibles associated with our SCIO acquisition in July 2018, partially offset by the impact of amortization of intangibles related to Health Integrated which were impaired during the fourth quarter of 2018. The increase in depreciation expense of $2.1 million was due to depreciation related to our new operating centers commenced during 2018 to support our business growth and depreciation associated with our SCIO acquisition.</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Impairment and Restructuring Charges.</w:t>
      </w:r>
    </w:p>
    <w:p>
      <w:pPr>
        <w:spacing w:after="0" w:line="344"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48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5480" w:type="dxa"/>
            <w:vAlign w:val="bottom"/>
          </w:tcPr>
          <w:p>
            <w:pPr>
              <w:spacing w:after="0"/>
              <w:rPr>
                <w:sz w:val="22"/>
                <w:szCs w:val="22"/>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2019</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2018</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6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69"/>
        </w:trPr>
        <w:tc>
          <w:tcPr>
            <w:tcW w:w="5480" w:type="dxa"/>
            <w:vAlign w:val="bottom"/>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4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108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Impairment and restructuring charges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37"/>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revenues</w:t>
            </w:r>
          </w:p>
        </w:tc>
        <w:tc>
          <w:tcPr>
            <w:tcW w:w="94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bl>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March 29, 2019, we commenced the process of substantially winding down of the operations of the Health Integrated business, which is reported within the Healthcare reportable segment. During the nine months ended September 30, 2019, we recorded impairment charges of $3.2 million and restructuring charges of $4.1 million in connection with the wind down process. See Note 24 to our unaudited consolidated financial statements for details.</w:t>
      </w:r>
    </w:p>
    <w:p>
      <w:pPr>
        <w:spacing w:after="0" w:line="172"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Operations. </w:t>
      </w:r>
      <w:r>
        <w:rPr>
          <w:rFonts w:ascii="Times New Roman" w:cs="Times New Roman" w:eastAsia="Times New Roman" w:hAnsi="Times New Roman"/>
          <w:sz w:val="18"/>
          <w:szCs w:val="18"/>
          <w:color w:val="auto"/>
        </w:rPr>
        <w:t>Income from operations increased by $1.2 million, or 2.4%, from $51.9 million for the nine months ended September 30,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2018 to $53.1 million for the nine months ended September 30, 2019. As a percentage of revenues, income from operations decreased from 8.0% for the nine months ended September 30, 2018 to 7.2% for the nine months ended September 30, 2019.</w:t>
      </w:r>
    </w:p>
    <w:p>
      <w:pPr>
        <w:spacing w:after="0" w:line="279"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Gain/(Loss). </w:t>
      </w:r>
      <w:r>
        <w:rPr>
          <w:rFonts w:ascii="Times New Roman" w:cs="Times New Roman" w:eastAsia="Times New Roman" w:hAnsi="Times New Roman"/>
          <w:sz w:val="18"/>
          <w:szCs w:val="18"/>
          <w:color w:val="auto"/>
        </w:rPr>
        <w:t>Net foreign exchange gains and losses are primarily attributable to movement of the U.S. dollar against the Indian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rupee, the U.K. pound sterling and the Philippine peso during the nine months ended September 30, 2019. The average exchange rate of the U.S. dollar against the Indian rupee increased from 67.61 during the nine months ended September 30, 2018 to 70.03 during the nine months ended September 30, 2019. The average exchange rate of the U.K. pound sterling against the U.S. dollar decreased from 1.35 during the nine months ended September 30, 2018 to 1.27 during the nine months ended September 30, 2019. The average exchange rate of the U.S. dollar against the Philippine</w:t>
      </w:r>
    </w:p>
    <w:p>
      <w:pPr>
        <w:sectPr>
          <w:pgSz w:w="11900" w:h="16838" w:orient="portrait"/>
          <w:cols w:equalWidth="0" w:num="1">
            <w:col w:w="11420"/>
          </w:cols>
          <w:pgMar w:left="240" w:top="333"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333" w:right="239" w:bottom="1440" w:gutter="0" w:footer="0" w:header="0"/>
          <w:type w:val="continuous"/>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peso decreased from 52.64 during the nine months ended September 30, 2018 to 51.84 during the nine months ended September 30, 2019.</w:t>
      </w:r>
    </w:p>
    <w:p>
      <w:pPr>
        <w:spacing w:after="0" w:line="11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recorded a net foreign exchange gain of $3.5 million for the nine months ended September 30, 2019 compared to the net foreign exchange gain of $3.4 million for the nine months ended September 30, 2018.</w:t>
      </w:r>
    </w:p>
    <w:p>
      <w:pPr>
        <w:spacing w:after="0" w:line="158"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Interest expense increased from $3.7 million for the nine months ended September 30, 2018 to $10.6 million for the nine months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September 30, 2019 primarily due to increase in borrowings and higher effective interest rates under our Credit Facility and issuance of convertible notes.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00" w:lineRule="exact"/>
        <w:rPr>
          <w:sz w:val="20"/>
          <w:szCs w:val="20"/>
          <w:color w:val="auto"/>
        </w:r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5780" w:type="dxa"/>
            <w:vAlign w:val="bottom"/>
          </w:tcPr>
          <w:p>
            <w:pPr>
              <w:spacing w:after="0"/>
              <w:rPr>
                <w:sz w:val="16"/>
                <w:szCs w:val="16"/>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64"/>
        </w:trPr>
        <w:tc>
          <w:tcPr>
            <w:tcW w:w="5780" w:type="dxa"/>
            <w:vAlign w:val="bottom"/>
          </w:tcPr>
          <w:p>
            <w:pPr>
              <w:spacing w:after="0"/>
              <w:rPr>
                <w:sz w:val="22"/>
                <w:szCs w:val="2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480" w:type="dxa"/>
            <w:vAlign w:val="bottom"/>
            <w:tcBorders>
              <w:top w:val="single" w:sz="8" w:color="auto"/>
            </w:tcBorders>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2018</w:t>
            </w:r>
          </w:p>
        </w:tc>
        <w:tc>
          <w:tcPr>
            <w:tcW w:w="4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320" w:type="dxa"/>
            <w:vAlign w:val="bottom"/>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Percentage change</w:t>
            </w:r>
          </w:p>
        </w:tc>
      </w:tr>
      <w:tr>
        <w:trPr>
          <w:trHeight w:val="250"/>
        </w:trPr>
        <w:tc>
          <w:tcPr>
            <w:tcW w:w="5780" w:type="dxa"/>
            <w:vAlign w:val="bottom"/>
            <w:tcBorders>
              <w:bottom w:val="single" w:sz="8" w:color="CCEEFF"/>
            </w:tcBorders>
          </w:tcPr>
          <w:p>
            <w:pPr>
              <w:spacing w:after="0"/>
              <w:rPr>
                <w:sz w:val="21"/>
                <w:szCs w:val="21"/>
                <w:color w:val="auto"/>
              </w:rPr>
            </w:pPr>
          </w:p>
        </w:tc>
        <w:tc>
          <w:tcPr>
            <w:tcW w:w="760" w:type="dxa"/>
            <w:vAlign w:val="bottom"/>
            <w:tcBorders>
              <w:top w:val="single" w:sz="8" w:color="auto"/>
              <w:bottom w:val="single" w:sz="8" w:color="auto"/>
            </w:tcBorders>
          </w:tcPr>
          <w:p>
            <w:pPr>
              <w:spacing w:after="0"/>
              <w:rPr>
                <w:sz w:val="21"/>
                <w:szCs w:val="21"/>
                <w:color w:val="auto"/>
              </w:rPr>
            </w:pPr>
          </w:p>
        </w:tc>
        <w:tc>
          <w:tcPr>
            <w:tcW w:w="1520" w:type="dxa"/>
            <w:vAlign w:val="bottom"/>
            <w:tcBorders>
              <w:top w:val="single" w:sz="8" w:color="auto"/>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440" w:type="dxa"/>
            <w:vAlign w:val="bottom"/>
            <w:tcBorders>
              <w:top w:val="single" w:sz="8" w:color="auto"/>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CCEEFF"/>
            </w:tcBorders>
          </w:tcPr>
          <w:p>
            <w:pPr>
              <w:spacing w:after="0"/>
              <w:rPr>
                <w:sz w:val="21"/>
                <w:szCs w:val="21"/>
                <w:color w:val="auto"/>
              </w:rPr>
            </w:pPr>
          </w:p>
        </w:tc>
        <w:tc>
          <w:tcPr>
            <w:tcW w:w="1080" w:type="dxa"/>
            <w:vAlign w:val="bottom"/>
            <w:tcBorders>
              <w:top w:val="single" w:sz="8" w:color="auto"/>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CCEEFF"/>
            </w:tcBorders>
          </w:tcPr>
          <w:p>
            <w:pPr>
              <w:spacing w:after="0"/>
              <w:rPr>
                <w:sz w:val="21"/>
                <w:szCs w:val="21"/>
                <w:color w:val="auto"/>
              </w:rPr>
            </w:pPr>
          </w:p>
        </w:tc>
      </w:tr>
      <w:tr>
        <w:trPr>
          <w:trHeight w:val="249"/>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sale and mark-to-market of mutual funds</w:t>
            </w:r>
          </w:p>
        </w:tc>
        <w:tc>
          <w:tcPr>
            <w:tcW w:w="760" w:type="dxa"/>
            <w:vAlign w:val="bottom"/>
            <w:tcBorders>
              <w:bottom w:val="single" w:sz="8" w:color="CCEEFF"/>
            </w:tcBorders>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4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760" w:type="dxa"/>
            <w:vAlign w:val="bottom"/>
          </w:tcPr>
          <w:p>
            <w:pPr>
              <w:spacing w:after="0"/>
              <w:rPr>
                <w:sz w:val="21"/>
                <w:szCs w:val="21"/>
                <w:color w:val="auto"/>
              </w:rPr>
            </w:pPr>
          </w:p>
        </w:tc>
        <w:tc>
          <w:tcPr>
            <w:tcW w:w="4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7"/>
        </w:trPr>
        <w:tc>
          <w:tcPr>
            <w:tcW w:w="5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7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1,509.2%</w:t>
            </w:r>
          </w:p>
        </w:tc>
      </w:tr>
      <w:tr>
        <w:trPr>
          <w:trHeight w:val="237"/>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760" w:type="dxa"/>
            <w:vAlign w:val="bottom"/>
            <w:tcBorders>
              <w:top w:val="single" w:sz="8" w:color="auto"/>
            </w:tcBorders>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920" w:type="dxa"/>
            <w:vAlign w:val="bottom"/>
            <w:tcBorders>
              <w:top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r>
      <w:tr>
        <w:trPr>
          <w:trHeight w:val="27"/>
        </w:trPr>
        <w:tc>
          <w:tcPr>
            <w:tcW w:w="57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5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Other income, net increased by $4.9 million, from $8.2 million for the nine months ended September 30, 2018 to $13.1 million for the nine months ended September 30, 2019, primarily due to a higher return on our mutual fund investments of $3.1 million, increase in interest and dividend income of $0.9 million and increase in one-time other income of $0.8 million, primarily related to our Health Integrated acquisition during the nine months ended September 30, 2019 compared to nine months ended September 30, 2018.</w:t>
      </w:r>
    </w:p>
    <w:p>
      <w:pPr>
        <w:spacing w:after="0" w:line="176"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We recorded income tax expense of $12.6 million and $6.8 million for the nine months ended September 30, 2019 and 2018,</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The effective tax rate increased from 11.4% during the nine months ended September 30, 2018 to 21.3% during the nine months ended September 30, 2019 primarily as a result of (i) an adjustment of $4.8 million reducing the provisional transition tax on the mandatory deemed repatriation of accumulated earnings and profits ("E&amp;P") of foreign subsidiaries recognized during the nine months ended September 30, 2018 and (ii) recording of excess tax benefits related to stock awards of $1.1 million pursuant to ASU No. 2016-09 during the nine months ended September 30, 2019 compared to $5.4 million during the nine months ended September 30, 2018. See Note 22 to our unaudited consolidated financial statements.</w:t>
      </w:r>
    </w:p>
    <w:p>
      <w:pPr>
        <w:spacing w:after="0" w:line="183"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Income. </w:t>
      </w:r>
      <w:r>
        <w:rPr>
          <w:rFonts w:ascii="Times New Roman" w:cs="Times New Roman" w:eastAsia="Times New Roman" w:hAnsi="Times New Roman"/>
          <w:sz w:val="18"/>
          <w:szCs w:val="18"/>
          <w:color w:val="auto"/>
        </w:rPr>
        <w:t>Net income decreased from $52.8 million for the nine months ended September 30, 2018 to $46.3 million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2019, primarily due to higher interest expense of $6.9 million, higher income tax expense of $5.8 million, partially offset by increase in other income, net of $4.9 million and increase in income from operations of $1.2 million. As a percentage of revenues, net income decreased from 8.2% for the nine months ended September 30, 2018 to 6.3% for the nine months ended September 30, 2019.</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69" w:lineRule="exact"/>
        <w:rPr>
          <w:sz w:val="20"/>
          <w:szCs w:val="20"/>
          <w:color w:val="auto"/>
        </w:rPr>
      </w:pPr>
    </w:p>
    <w:tbl>
      <w:tblPr>
        <w:tblLayout w:type="fixed"/>
        <w:tblInd w:w="64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2960" w:type="dxa"/>
            <w:vAlign w:val="bottom"/>
            <w:tcBorders>
              <w:bottom w:val="single" w:sz="8" w:color="auto"/>
            </w:tcBorders>
            <w:gridSpan w:val="5"/>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64"/>
        </w:trPr>
        <w:tc>
          <w:tcPr>
            <w:tcW w:w="7180" w:type="dxa"/>
            <w:vAlign w:val="bottom"/>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2019</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w w:val="99"/>
              </w:rPr>
              <w:t>2018</w:t>
            </w:r>
          </w:p>
        </w:tc>
      </w:tr>
      <w:tr>
        <w:trPr>
          <w:trHeight w:val="196"/>
        </w:trPr>
        <w:tc>
          <w:tcPr>
            <w:tcW w:w="7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860" w:type="dxa"/>
            <w:vAlign w:val="bottom"/>
          </w:tcPr>
          <w:p>
            <w:pPr>
              <w:spacing w:after="0"/>
              <w:rPr>
                <w:sz w:val="17"/>
                <w:szCs w:val="17"/>
                <w:color w:val="auto"/>
              </w:rPr>
            </w:pPr>
          </w:p>
        </w:tc>
      </w:tr>
      <w:tr>
        <w:trPr>
          <w:trHeight w:val="255"/>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Opening cash, cash equivalents and restricted cash</w:t>
            </w:r>
          </w:p>
        </w:tc>
        <w:tc>
          <w:tcPr>
            <w:tcW w:w="880" w:type="dxa"/>
            <w:vAlign w:val="bottom"/>
            <w:tcBorders>
              <w:bottom w:val="single" w:sz="8" w:color="CCEEFF"/>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r>
      <w:tr>
        <w:trPr>
          <w:trHeight w:val="24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for)/provided by financing activities</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207.8</w:t>
            </w:r>
          </w:p>
        </w:tc>
      </w:tr>
      <w:tr>
        <w:trPr>
          <w:trHeight w:val="27"/>
        </w:trPr>
        <w:tc>
          <w:tcPr>
            <w:tcW w:w="7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w:t>
            </w:r>
          </w:p>
        </w:tc>
        <w:tc>
          <w:tcPr>
            <w:tcW w:w="88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7"/>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Closing cash, cash equivalents and restricted cash</w:t>
            </w:r>
          </w:p>
        </w:tc>
        <w:tc>
          <w:tcPr>
            <w:tcW w:w="880" w:type="dxa"/>
            <w:vAlign w:val="bottom"/>
            <w:tcBorders>
              <w:top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w:t>
            </w:r>
          </w:p>
        </w:tc>
      </w:tr>
      <w:tr>
        <w:trPr>
          <w:trHeight w:val="27"/>
        </w:trPr>
        <w:tc>
          <w:tcPr>
            <w:tcW w:w="71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As of September 30, 2019 and 2018, we had $280.8 million and $242.5 million, respectively, in cash, cash equivalents and short-term investments, of which $228.7 million and $187.9 million, respectively, is located in foreign jurisdictions that upon distribution may be subject to withholding and other tax and we do not currently intend to distribute such amounts. If,</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333" w:right="2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future, we change our intention regarding distributions, additional taxes may be required and would be recorded in the period the intention changes.</w:t>
      </w:r>
    </w:p>
    <w:p>
      <w:pPr>
        <w:spacing w:after="0" w:line="223" w:lineRule="exact"/>
        <w:rPr>
          <w:sz w:val="20"/>
          <w:szCs w:val="20"/>
          <w:color w:val="auto"/>
        </w:rPr>
      </w:pPr>
    </w:p>
    <w:p>
      <w:pPr>
        <w:jc w:val="both"/>
        <w:ind w:firstLine="39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Cash flows provided by operating activities were $106.0 million for the nine months ended September 30, 2019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cash flows provided by operating activities of $47.2 million during the nine months ended September 30, 2018. Generally, factors that affect our earnings— including pricing, volume of services, costs and productivity—affect our cash flows used or provided from operations in a similar manner. However, while management of working capital, including timing of collections and payments affects operating results in an indirect manner, the impact on the working capital and cash flows provided by operating activities can be significant</w:t>
      </w:r>
    </w:p>
    <w:p>
      <w:pPr>
        <w:spacing w:after="0" w:line="182"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color w:val="auto"/>
        </w:rPr>
        <w:t>Cash flows provided by operating activities for the nine months ended September 30, 2019 was $106.0 million. This comprised of net income plus the net effect of non-cash items, such as depreciation and amortization, stock-based compensation expense, amortization of operating lease right-of-use assets, deferred income taxes, impairment charges and others aggregating to $119.2 million. The primary working capital use of cash of $39.0 million during the nine months ended September 30, 2019 was driven by an increase in accounts receivables, other assets and decrease in operating lease liabilities, accounts payable. The primary working capital sources of cash of $25.8 million was driven by an increase in accrued expenses and other liabilities, accrued employee costs, deferred revenue and decrease in advance income tax, prepaid expenses and other current assets.</w:t>
      </w:r>
    </w:p>
    <w:p>
      <w:pPr>
        <w:spacing w:after="0" w:line="186" w:lineRule="exact"/>
        <w:rPr>
          <w:sz w:val="20"/>
          <w:szCs w:val="20"/>
          <w:color w:val="auto"/>
        </w:rPr>
      </w:pPr>
    </w:p>
    <w:p>
      <w:pPr>
        <w:jc w:val="both"/>
        <w:ind w:firstLine="392"/>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Cash flows used for investing activities were $21.3 million for the nine months ended September 30, 2019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used for investing activities of $240.4 million for the nine months ended September 30, 2018. The decrease is mainly due to higher cash used for the business acquisitions of $231.9 million during the nine months ended September 30, 2018. This was partially offset by lower net proceeds from redemption of investments of $11.2 million during the nine months ended September 30, 2019 as compared to higher net proceeds from redemption of investments of $21.6 million during the nine months ended September 30, 2018 and higher capital expenditures for purchase of long-lived assets, including investments in infrastructure, technology applications, product developments, digital technology and advanced automation &amp; robotics of $2.2 million during the nine months ended September 30, 2019 compared to the nine months ended September 30, 2018.</w:t>
      </w:r>
    </w:p>
    <w:p>
      <w:pPr>
        <w:spacing w:after="0" w:line="183" w:lineRule="exact"/>
        <w:rPr>
          <w:sz w:val="20"/>
          <w:szCs w:val="20"/>
          <w:color w:val="auto"/>
        </w:rPr>
      </w:pPr>
    </w:p>
    <w:p>
      <w:pPr>
        <w:jc w:val="both"/>
        <w:ind w:firstLine="39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Cash flows used for financing activities were $77.7 million during the nine months ended September 30, 2019 as compared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flows provided by financing activities of $207.8 million during the nine months ended September 30, 2018. The decrease in cash flows provided from financing activities was primarily due to higher net borrowings of $239.9 million (net of proceeds) under our Credit Facility (as described below in “Financing Arrangements”) during the nine months ended September 30, 2018 as compared to net repayments of $41.8 million and higher purchases of treasury stock by $3.1 million under our share repurchase program during the nine months ended September 30, 2019 as compared to the nine months ended September 30, 2018.</w:t>
      </w:r>
    </w:p>
    <w:p>
      <w:pPr>
        <w:spacing w:after="0" w:line="18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We expect to use cash from operating activities to maintain and expand our business by making investments primarily related to new facilities and capital expenditures associated with leasehold improvements to build our facilities, and purchase telecommunications equipment and computer hardware and software in connection with managing client operations. We incurred $32.3 million of capital expenditures in the nine months ended September 30, 2019. We expect to incur capital expenditures of between $38.0 million to $42.0 million in 2019, primarily to meet our growth requirements, including additions to our facilities as well as investments in technology applications, product development, digital technology, advanced automation &amp; robotics and infrastructure.</w:t>
      </w:r>
    </w:p>
    <w:p>
      <w:pPr>
        <w:spacing w:after="0" w:line="184"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In connection with any tax assessment orders that have been issued or may be issued against us or our subsidiaries, we may be required to deposit additional amounts with respect to such assessment orders (see Note 26 to our unaudited consolidated financial statements herein for further details). 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Arrangements (Debt Facility)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Revolver Credit Agreement</w:t>
      </w:r>
    </w:p>
    <w:p>
      <w:pPr>
        <w:spacing w:after="0" w:line="268" w:lineRule="exact"/>
        <w:rPr>
          <w:sz w:val="20"/>
          <w:szCs w:val="20"/>
          <w:color w:val="auto"/>
        </w:rPr>
      </w:pPr>
    </w:p>
    <w:p>
      <w:pPr>
        <w:jc w:val="both"/>
        <w:ind w:right="20" w:firstLine="392"/>
        <w:spacing w:after="0" w:line="266" w:lineRule="auto"/>
        <w:rPr>
          <w:sz w:val="20"/>
          <w:szCs w:val="20"/>
          <w:color w:val="auto"/>
        </w:rPr>
      </w:pPr>
      <w:r>
        <w:rPr>
          <w:rFonts w:ascii="Times New Roman" w:cs="Times New Roman" w:eastAsia="Times New Roman" w:hAnsi="Times New Roman"/>
          <w:sz w:val="18"/>
          <w:szCs w:val="18"/>
          <w:color w:val="auto"/>
        </w:rPr>
        <w:t>On November 21, 2017, we and each of our wholly owned material domestic subsidiaries entered into a Credit Agreement with certain lenders, and Citibank, N.A. as Administrative Agent (the “Credit Agreement”). The Credit Agreement provides for a $200.0 million revolving credit facility (the “Credit Facility”) with an option to increase the commitments by up to</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333" w:right="23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$100.0 million, subject to certain approvals and conditions as set forth in the Credit Agreement. The Credit Agreement also includes a letter of credit sub facility. The Credit Facility has a maturity date of November 21, 2022 and is voluntarily pre-payable from time to time without premium or penalty. Borrowings under the Credit Agreement may be used for working capital and general corporate purposes, including permitted acquisitions. On July 2, 2018, we exercised our option under the Credit Agreement to increase the commitments by $100.0 million thereby utilizing the entire revolver under the Credit Facility of $300.0 million, to fund the SCIO acquisition. The incremental commitments were made pursuant to (and constitute part of) the existing commitments and shall be subject to the terms and conditions applicable to the existing commitments as set forth in the Credit Agreement.</w:t>
      </w:r>
    </w:p>
    <w:p>
      <w:pPr>
        <w:spacing w:after="0" w:line="188" w:lineRule="exact"/>
        <w:rPr>
          <w:sz w:val="20"/>
          <w:szCs w:val="20"/>
          <w:color w:val="auto"/>
        </w:rPr>
      </w:pPr>
    </w:p>
    <w:p>
      <w:pPr>
        <w:jc w:val="both"/>
        <w:ind w:right="20" w:firstLine="405"/>
        <w:spacing w:after="0" w:line="261" w:lineRule="auto"/>
        <w:rPr>
          <w:sz w:val="20"/>
          <w:szCs w:val="20"/>
          <w:color w:val="auto"/>
        </w:rPr>
      </w:pPr>
      <w:r>
        <w:rPr>
          <w:rFonts w:ascii="Times New Roman" w:cs="Times New Roman" w:eastAsia="Times New Roman" w:hAnsi="Times New Roman"/>
          <w:sz w:val="18"/>
          <w:szCs w:val="18"/>
          <w:color w:val="auto"/>
        </w:rPr>
        <w:t>We entered into a second amendment (the “Amendment”) to our Credit Agreement, as amended, among the Company, as borrower, with certain lenders, and Citibank, N.A. as Administrative Agent to, among other things, permit the issuance by us of the convertible notes, and settlement upon maturity or conversion thereof, in accordance with the Investment Agreement, the indenture dated as of October 4, 2018 and the other documents entered into in connection therewith.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18 to our unaudited consolidated financial statements herein for further details on our debt facilities.</w:t>
      </w:r>
    </w:p>
    <w:p>
      <w:pPr>
        <w:spacing w:after="0" w:line="225"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As of September 30, 2019, we had outstanding indebtedness under the credit facility of $109.0 million, of which $20.0 million is expected to be repaid within the next twelve months and is included under “current portion of long-term borrowings” and of which $89.0 million is included under “long-term borrowings” in the unaudited consolidated balance sheets. As of December 31, 2018, we had outstanding indebtedness under the credit facility of $150.0 million, of which $20.0 million was presented under "current portion of long-term borrowings" and the balance of $130.0 million was included under "long-term borrowings" in the unaudited consolidated balance sheets.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Senior Notes</w:t>
      </w:r>
    </w:p>
    <w:p>
      <w:pPr>
        <w:spacing w:after="0" w:line="268" w:lineRule="exact"/>
        <w:rPr>
          <w:sz w:val="20"/>
          <w:szCs w:val="20"/>
          <w:color w:val="auto"/>
        </w:rPr>
      </w:pPr>
    </w:p>
    <w:p>
      <w:pPr>
        <w:jc w:val="both"/>
        <w:ind w:firstLine="405"/>
        <w:spacing w:after="0" w:line="252" w:lineRule="auto"/>
        <w:rPr>
          <w:sz w:val="20"/>
          <w:szCs w:val="20"/>
          <w:color w:val="auto"/>
        </w:rPr>
      </w:pPr>
      <w:r>
        <w:rPr>
          <w:rFonts w:ascii="Times New Roman" w:cs="Times New Roman" w:eastAsia="Times New Roman" w:hAnsi="Times New Roman"/>
          <w:sz w:val="18"/>
          <w:szCs w:val="18"/>
          <w:color w:val="auto"/>
        </w:rPr>
        <w:t>On October 1, 2018, we entered into an investment agreement (the “Investment Agreement”) with Orogen Echo LLC (the “Purchaser”), an affiliate of The Orogen Group LLC, relating to the issuance to the Purchaser of $150.0 million in an aggregate principal amount of 3.50% Convertible Senior Notes due October 1, 2024 (the "Notes"). The transactions contemplated by the Investment Agreement, including the issuance of the Notes, closed on October 4, 2018. The Notes bear interest at a rate of 3.50% per annum, payable semi-annually in arrears in cash on April 1 and October 1 of each year. During the three and nine months ended September 30, 2019, we recognized interest expense of $1.3 million and $3.9 million. The Notes are convertible at an initial conversion rate of 13.3333 shares of the common stock per $1,000 principal amount of the Notes (which represents an initial conversion price of approximately $75 per share). With certain exceptions, upon a fundamental change, as defined in the Indenture, the holders of the Notes may require us to repurchase all or part of the principal amount of the Notes at a purchase price equal to the principal amount plus accrued and unpaid interest. We may redeem the principal amount of the Notes, at our option, in whole but not in part, at a purchase price equal to the principal amount plus accrued and unpaid interest on or after October 1, 2021, if the closing sale price of the common stock exceeds 150% of the then-current conversion price for 20 or more trading days in the 30 consecutive trading day period preceding our exercise of this redemption right (including the trading day immediately prior to the date of the notice of redemption). We may elect to settle conversions of the Notes by paying or delivering, as the case may be, cash, shares of our common stock or a combination of cash and shares of our common stock. We used the proceeds from the issuance of Notes to repay $150.0 million of our outstanding borrowings under the Credit Facility.</w:t>
      </w:r>
    </w:p>
    <w:p>
      <w:pPr>
        <w:spacing w:after="0" w:line="307"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We accounted for the liability and equity components of the Notes separately to reflect its non-convertible debt borrowing rate. The estimated fair value of the liability component at issuance of $133.1 million was determined using a discounted cash flow technique, which considered debt issuances with similar features of our debt, excluding the conversion feature. The resulting effective interest rate for the Notes was 5.75% per annum. The excess of the gross proceeds received over the estimated fair value of the liability component totaling $16.9 million, excluding tax effects, was allocated to the conversion feature (equity component, recorded as additional paid-in capital) with a corresponding offset recognized as a discount to reduce the net carrying value of the Notes. The discount is being amortized to interest expense over a six-year period ending October 1, 2024 (the expected life of the liability component) using the effective interest method.</w:t>
      </w:r>
    </w:p>
    <w:p>
      <w:pPr>
        <w:spacing w:after="0" w:line="18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Under the terms of the Notes, we are not prohibited from paying cash dividends unless payment would trigger an event of default or if one currently exists. We do not anticipate paying any cash dividends in the foreseeable future.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333" w:right="2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we provide standby letters of credit to third parties primarily for facility leases. As of September 30, 2019 and December 31, 2018, we had outstanding letters of credit of $0.5 million and $nil, respectively, that were not recognized in our consolidated balance sheets. These are not reasonably likely to have, a current or future material effect on our financial condition, revenues or expenses, results of operations, liquidity, capital expenditures or capital resources. We had no other off balance sheet arrangements or obligations.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sets forth our contractual obligations as of September 30, 2019:</w:t>
      </w: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6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Payment Due by Period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78"/>
        </w:trPr>
        <w:tc>
          <w:tcPr>
            <w:tcW w:w="428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gridSpan w:val="2"/>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r>
      <w:tr>
        <w:trPr>
          <w:trHeight w:val="254"/>
        </w:trPr>
        <w:tc>
          <w:tcPr>
            <w:tcW w:w="42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Less than</w:t>
            </w:r>
          </w:p>
        </w:tc>
        <w:tc>
          <w:tcPr>
            <w:tcW w:w="300" w:type="dxa"/>
            <w:vAlign w:val="bottom"/>
          </w:tcPr>
          <w:p>
            <w:pPr>
              <w:spacing w:after="0"/>
              <w:rPr>
                <w:sz w:val="22"/>
                <w:szCs w:val="22"/>
                <w:color w:val="auto"/>
              </w:rPr>
            </w:pPr>
          </w:p>
        </w:tc>
        <w:tc>
          <w:tcPr>
            <w:tcW w:w="10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1-3</w:t>
            </w:r>
          </w:p>
        </w:tc>
        <w:tc>
          <w:tcPr>
            <w:tcW w:w="96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4-5</w:t>
            </w: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After</w:t>
            </w: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42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 year</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95"/>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years</w:t>
            </w:r>
          </w:p>
        </w:tc>
        <w:tc>
          <w:tcPr>
            <w:tcW w:w="4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5 years</w:t>
            </w:r>
          </w:p>
        </w:tc>
        <w:tc>
          <w:tcPr>
            <w:tcW w:w="2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4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40" w:type="dxa"/>
            <w:vAlign w:val="bottom"/>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64"/>
        </w:trPr>
        <w:tc>
          <w:tcPr>
            <w:tcW w:w="428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0.4</w:t>
            </w:r>
          </w:p>
        </w:tc>
        <w:tc>
          <w:tcPr>
            <w:tcW w:w="960" w:type="dxa"/>
            <w:vAlign w:val="bottom"/>
            <w:tcBorders>
              <w:bottom w:val="single" w:sz="8" w:color="CCEEFF"/>
            </w:tcBorders>
            <w:gridSpan w:val="2"/>
            <w:shd w:val="clear" w:color="auto" w:fill="CCEEFF"/>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0.8</w:t>
            </w:r>
          </w:p>
        </w:tc>
      </w:tr>
      <w:tr>
        <w:trPr>
          <w:trHeight w:val="270"/>
        </w:trPr>
        <w:tc>
          <w:tcPr>
            <w:tcW w:w="42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Operating leases</w:t>
            </w:r>
            <w:r>
              <w:rPr>
                <w:rFonts w:ascii="Times New Roman" w:cs="Times New Roman" w:eastAsia="Times New Roman" w:hAnsi="Times New Roman"/>
                <w:sz w:val="25"/>
                <w:szCs w:val="25"/>
                <w:color w:val="auto"/>
                <w:vertAlign w:val="superscript"/>
              </w:rPr>
              <w:t>(a)</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130.3</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r>
      <w:tr>
        <w:trPr>
          <w:trHeight w:val="270"/>
        </w:trPr>
        <w:tc>
          <w:tcPr>
            <w:tcW w:w="4280" w:type="dxa"/>
            <w:vAlign w:val="bottom"/>
          </w:tcPr>
          <w:p>
            <w:pPr>
              <w:ind w:left="20"/>
              <w:spacing w:after="0" w:line="270" w:lineRule="exact"/>
              <w:rPr>
                <w:sz w:val="20"/>
                <w:szCs w:val="20"/>
                <w:color w:val="auto"/>
              </w:rPr>
            </w:pPr>
            <w:r>
              <w:rPr>
                <w:rFonts w:ascii="Times New Roman" w:cs="Times New Roman" w:eastAsia="Times New Roman" w:hAnsi="Times New Roman"/>
                <w:sz w:val="18"/>
                <w:szCs w:val="18"/>
                <w:color w:val="auto"/>
              </w:rPr>
              <w:t>Other obligations</w:t>
            </w:r>
            <w:r>
              <w:rPr>
                <w:rFonts w:ascii="Times New Roman" w:cs="Times New Roman" w:eastAsia="Times New Roman" w:hAnsi="Times New Roman"/>
                <w:sz w:val="25"/>
                <w:szCs w:val="25"/>
                <w:color w:val="auto"/>
                <w:vertAlign w:val="superscript"/>
              </w:rPr>
              <w:t>(b)</w:t>
            </w:r>
          </w:p>
        </w:tc>
        <w:tc>
          <w:tcPr>
            <w:tcW w:w="220" w:type="dxa"/>
            <w:vAlign w:val="bottom"/>
          </w:tcPr>
          <w:p>
            <w:pPr>
              <w:spacing w:after="0"/>
              <w:rPr>
                <w:sz w:val="23"/>
                <w:szCs w:val="23"/>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r>
      <w:tr>
        <w:trPr>
          <w:trHeight w:val="250"/>
        </w:trPr>
        <w:tc>
          <w:tcPr>
            <w:tcW w:w="4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w:t>
            </w:r>
          </w:p>
        </w:tc>
        <w:tc>
          <w:tcPr>
            <w:tcW w:w="2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Principal payments</w:t>
            </w:r>
          </w:p>
        </w:tc>
        <w:tc>
          <w:tcPr>
            <w:tcW w:w="22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68.5</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150.0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260.4</w:t>
            </w:r>
          </w:p>
        </w:tc>
      </w:tr>
      <w:tr>
        <w:trPr>
          <w:trHeight w:val="27"/>
        </w:trPr>
        <w:tc>
          <w:tcPr>
            <w:tcW w:w="4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4280" w:type="dxa"/>
            <w:vAlign w:val="bottom"/>
            <w:shd w:val="clear" w:color="auto" w:fill="CCEEFF"/>
          </w:tcPr>
          <w:p>
            <w:pPr>
              <w:ind w:left="360"/>
              <w:spacing w:after="0" w:line="270" w:lineRule="exact"/>
              <w:rPr>
                <w:sz w:val="20"/>
                <w:szCs w:val="20"/>
                <w:color w:val="auto"/>
              </w:rPr>
            </w:pPr>
            <w:r>
              <w:rPr>
                <w:rFonts w:ascii="Times New Roman" w:cs="Times New Roman" w:eastAsia="Times New Roman" w:hAnsi="Times New Roman"/>
                <w:sz w:val="18"/>
                <w:szCs w:val="18"/>
                <w:color w:val="auto"/>
              </w:rPr>
              <w:t>Interest payments</w:t>
            </w:r>
            <w:r>
              <w:rPr>
                <w:rFonts w:ascii="Times New Roman" w:cs="Times New Roman" w:eastAsia="Times New Roman" w:hAnsi="Times New Roman"/>
                <w:sz w:val="25"/>
                <w:szCs w:val="25"/>
                <w:color w:val="auto"/>
                <w:vertAlign w:val="superscript"/>
              </w:rPr>
              <w:t>(c)</w:t>
            </w:r>
          </w:p>
        </w:tc>
        <w:tc>
          <w:tcPr>
            <w:tcW w:w="22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14.0</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35.8</w:t>
            </w:r>
          </w:p>
        </w:tc>
      </w:tr>
      <w:tr>
        <w:trPr>
          <w:trHeight w:val="264"/>
        </w:trPr>
        <w:tc>
          <w:tcPr>
            <w:tcW w:w="4280" w:type="dxa"/>
            <w:vAlign w:val="bottom"/>
          </w:tcPr>
          <w:p>
            <w:pPr>
              <w:ind w:left="20"/>
              <w:spacing w:after="0" w:line="264" w:lineRule="exact"/>
              <w:rPr>
                <w:sz w:val="20"/>
                <w:szCs w:val="20"/>
                <w:color w:val="auto"/>
              </w:rPr>
            </w:pPr>
            <w:r>
              <w:rPr>
                <w:rFonts w:ascii="Times New Roman" w:cs="Times New Roman" w:eastAsia="Times New Roman" w:hAnsi="Times New Roman"/>
                <w:sz w:val="18"/>
                <w:szCs w:val="18"/>
                <w:color w:val="auto"/>
              </w:rPr>
              <w:t>Total contractual cash obligations</w:t>
            </w:r>
            <w:r>
              <w:rPr>
                <w:rFonts w:ascii="Times New Roman" w:cs="Times New Roman" w:eastAsia="Times New Roman" w:hAnsi="Times New Roman"/>
                <w:sz w:val="25"/>
                <w:szCs w:val="25"/>
                <w:color w:val="auto"/>
                <w:vertAlign w:val="superscript"/>
              </w:rPr>
              <w:t>(d)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62.8</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130.4</w:t>
            </w:r>
          </w:p>
        </w:tc>
        <w:tc>
          <w:tcPr>
            <w:tcW w:w="9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445.7</w:t>
            </w:r>
          </w:p>
        </w:tc>
      </w:tr>
      <w:tr>
        <w:trPr>
          <w:trHeight w:val="20"/>
        </w:trPr>
        <w:tc>
          <w:tcPr>
            <w:tcW w:w="4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54" w:lineRule="exact"/>
        <w:rPr>
          <w:sz w:val="20"/>
          <w:szCs w:val="20"/>
          <w:color w:val="auto"/>
        </w:rPr>
      </w:pPr>
    </w:p>
    <w:p>
      <w:pPr>
        <w:ind w:left="540" w:hanging="532"/>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lease liabilities payable for cancellable and non-cancellable lease period.</w:t>
      </w:r>
    </w:p>
    <w:p>
      <w:pPr>
        <w:spacing w:after="0" w:line="2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Represents estimated payments under the Gratuity Plan.</w:t>
      </w:r>
    </w:p>
    <w:p>
      <w:pPr>
        <w:spacing w:after="0" w:line="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Interest on borrowings is calculated based on the interest rate on the outstanding borrowings as of September 30, 2019.</w:t>
      </w:r>
    </w:p>
    <w:p>
      <w:pPr>
        <w:spacing w:after="0" w:line="5" w:lineRule="exact"/>
        <w:rPr>
          <w:rFonts w:ascii="Times New Roman" w:cs="Times New Roman" w:eastAsia="Times New Roman" w:hAnsi="Times New Roman"/>
          <w:sz w:val="16"/>
          <w:szCs w:val="16"/>
          <w:i w:val="1"/>
          <w:iCs w:val="1"/>
          <w:color w:val="auto"/>
        </w:rPr>
      </w:pPr>
    </w:p>
    <w:p>
      <w:pPr>
        <w:ind w:left="540" w:hanging="532"/>
        <w:spacing w:after="0"/>
        <w:tabs>
          <w:tab w:leader="none" w:pos="540" w:val="left"/>
        </w:tabs>
        <w:numPr>
          <w:ilvl w:val="0"/>
          <w:numId w:val="1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Excludes $0.8 million related to uncertain tax positions, since the extent of the amount and timing of payment is currently not reliably estimable or determinable.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51435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9"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4"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Our operations centers in the Philippines are registered with the “PEZA.” The registration provides us with certain fiscal incentives on the import of capital goods and requires that ExlService Philippines, Inc. meet certain performance and investment criteria. We believe that these centers have in the past satisfied and will continue to satisfy the required criteria.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60" w:firstLine="432"/>
        <w:spacing w:after="0" w:line="282" w:lineRule="auto"/>
        <w:rPr>
          <w:sz w:val="20"/>
          <w:szCs w:val="20"/>
          <w:color w:val="auto"/>
        </w:rPr>
      </w:pPr>
      <w:r>
        <w:rPr>
          <w:rFonts w:ascii="Times New Roman" w:cs="Times New Roman" w:eastAsia="Times New Roman" w:hAnsi="Times New Roman"/>
          <w:sz w:val="18"/>
          <w:szCs w:val="18"/>
          <w:color w:val="auto"/>
        </w:rPr>
        <w:t>For a description of recent accounting pronouncements, see Note 2—“Recent Accounting Pronouncements” to the unaudited consolidated financial statements contained herein.</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333" w:right="23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2019, there were no material changes in our market risk exposure. For a discussion of our market risk associated with exchange rate risk and interest rate risk, see Item 7A “Quantitative and Qualitative Disclosures about Market Risk” in our Annual Report on Form 10-K for the fiscal year ended December 31, 2018.</w:t>
      </w:r>
    </w:p>
    <w:p>
      <w:pPr>
        <w:spacing w:after="0" w:line="172"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U.S. Securities and Exchange Commission’s rules and forms, and that such information is accumulated and communicated to our management, including our Chief Executive Officer (“CEO”) and Chief Financial Officer (“CFO”), to allow timely decisions regarding required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2019. Based upon that evaluation, the CEO and CFO have concluded that, as of September 30, 2019, our disclosure controls and procedures were effective.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2019,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37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3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the course of our normal business activities, various lawsuits, claims and proceedings may be instituted or asserted against us. We believe that the disposition of matters currently instituted or asserted will not have a material adverse effect on our unaudited consolidated financial position, results of operations or cash flows. See Note 26 to the unaudited consolidated financial statements contained herein for details regarding certain contingent liabilities.</w:t>
      </w:r>
    </w:p>
    <w:p>
      <w:pPr>
        <w:spacing w:after="0" w:line="17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121" w:lineRule="exact"/>
        <w:rPr>
          <w:sz w:val="20"/>
          <w:szCs w:val="20"/>
          <w:color w:val="auto"/>
        </w:rPr>
      </w:pPr>
    </w:p>
    <w:p>
      <w:pPr>
        <w:jc w:val="both"/>
        <w:ind w:firstLine="432"/>
        <w:spacing w:after="0" w:line="258" w:lineRule="auto"/>
        <w:rPr>
          <w:sz w:val="20"/>
          <w:szCs w:val="20"/>
          <w:color w:val="auto"/>
        </w:rPr>
      </w:pPr>
      <w:r>
        <w:rPr>
          <w:rFonts w:ascii="Times New Roman" w:cs="Times New Roman" w:eastAsia="Times New Roman" w:hAnsi="Times New Roman"/>
          <w:sz w:val="18"/>
          <w:szCs w:val="18"/>
          <w:color w:val="auto"/>
        </w:rPr>
        <w:t>We have disclosed under the heading “Risk Factors” in our Annual Report on Form 10-K for the fiscal year ended December 31, 2018 a number of risks which may materially affect our business, financial condition or results of operations. You should carefully consider the “Risk Factors” set forth in our Annual Report on Form 10-K for the fiscal year ended December 31, 2018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18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Unregistered Sales of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333" w:right="23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During the three months ended September 30, 2019, purchases of common stock were as follows:</w:t>
      </w:r>
    </w:p>
    <w:p>
      <w:pPr>
        <w:spacing w:after="0" w:line="275" w:lineRule="exact"/>
        <w:rPr>
          <w:sz w:val="20"/>
          <w:szCs w:val="20"/>
          <w:color w:val="auto"/>
        </w:rPr>
      </w:pPr>
    </w:p>
    <w:tbl>
      <w:tblPr>
        <w:tblLayout w:type="fixed"/>
        <w:tblInd w:w="28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20" w:type="dxa"/>
            <w:vAlign w:val="bottom"/>
          </w:tcPr>
          <w:p>
            <w:pPr>
              <w:spacing w:after="0"/>
              <w:rPr>
                <w:sz w:val="18"/>
                <w:szCs w:val="18"/>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Average Price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8"/>
                <w:szCs w:val="18"/>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108"/>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18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108"/>
        </w:trPr>
        <w:tc>
          <w:tcPr>
            <w:tcW w:w="4040" w:type="dxa"/>
            <w:vAlign w:val="bottom"/>
            <w:gridSpan w:val="2"/>
            <w:vMerge w:val="continue"/>
          </w:tcPr>
          <w:p>
            <w:pPr>
              <w:spacing w:after="0"/>
              <w:rPr>
                <w:sz w:val="9"/>
                <w:szCs w:val="9"/>
                <w:color w:val="auto"/>
              </w:rPr>
            </w:pPr>
          </w:p>
        </w:tc>
        <w:tc>
          <w:tcPr>
            <w:tcW w:w="16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2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3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gridSpan w:val="2"/>
            <w:vMerge w:val="restart"/>
          </w:tcPr>
          <w:p>
            <w:pPr>
              <w:jc w:val="center"/>
              <w:ind w:right="220"/>
              <w:spacing w:after="0" w:line="216" w:lineRule="exact"/>
              <w:rPr>
                <w:sz w:val="20"/>
                <w:szCs w:val="20"/>
                <w:color w:val="auto"/>
              </w:rPr>
            </w:pPr>
            <w:r>
              <w:rPr>
                <w:rFonts w:ascii="Times New Roman" w:cs="Times New Roman" w:eastAsia="Times New Roman" w:hAnsi="Times New Roman"/>
                <w:sz w:val="18"/>
                <w:szCs w:val="18"/>
                <w:b w:val="1"/>
                <w:bCs w:val="1"/>
                <w:color w:val="auto"/>
                <w:w w:val="91"/>
              </w:rPr>
              <w:t>share</w:t>
            </w:r>
            <w:r>
              <w:rPr>
                <w:rFonts w:ascii="Times New Roman" w:cs="Times New Roman" w:eastAsia="Times New Roman" w:hAnsi="Times New Roman"/>
                <w:sz w:val="25"/>
                <w:szCs w:val="25"/>
                <w:b w:val="1"/>
                <w:bCs w:val="1"/>
                <w:color w:val="auto"/>
                <w:w w:val="91"/>
                <w:vertAlign w:val="superscript"/>
              </w:rPr>
              <w:t>(1)</w:t>
            </w:r>
          </w:p>
        </w:tc>
        <w:tc>
          <w:tcPr>
            <w:tcW w:w="19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120" w:type="dxa"/>
            <w:vAlign w:val="bottom"/>
          </w:tcPr>
          <w:p>
            <w:pPr>
              <w:spacing w:after="0"/>
              <w:rPr>
                <w:sz w:val="11"/>
                <w:szCs w:val="11"/>
                <w:color w:val="auto"/>
              </w:rPr>
            </w:pPr>
          </w:p>
        </w:tc>
        <w:tc>
          <w:tcPr>
            <w:tcW w:w="172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Under the Plans or</w:t>
            </w:r>
          </w:p>
        </w:tc>
        <w:tc>
          <w:tcPr>
            <w:tcW w:w="0" w:type="dxa"/>
            <w:vAlign w:val="bottom"/>
          </w:tcPr>
          <w:p>
            <w:pPr>
              <w:spacing w:after="0"/>
              <w:rPr>
                <w:sz w:val="1"/>
                <w:szCs w:val="1"/>
                <w:color w:val="auto"/>
              </w:rPr>
            </w:pPr>
          </w:p>
        </w:tc>
      </w:tr>
      <w:tr>
        <w:trPr>
          <w:trHeight w:val="86"/>
        </w:trPr>
        <w:tc>
          <w:tcPr>
            <w:tcW w:w="3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3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120" w:type="dxa"/>
            <w:vAlign w:val="bottom"/>
          </w:tcPr>
          <w:p>
            <w:pPr>
              <w:spacing w:after="0"/>
              <w:rPr>
                <w:sz w:val="20"/>
                <w:szCs w:val="20"/>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7"/>
        </w:trPr>
        <w:tc>
          <w:tcPr>
            <w:tcW w:w="3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2019 through July 31, 2019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65.23</w:t>
            </w:r>
          </w:p>
        </w:tc>
        <w:tc>
          <w:tcPr>
            <w:tcW w:w="1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59,325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10,000,428</w:t>
            </w:r>
          </w:p>
        </w:tc>
        <w:tc>
          <w:tcPr>
            <w:tcW w:w="0" w:type="dxa"/>
            <w:vAlign w:val="bottom"/>
          </w:tcPr>
          <w:p>
            <w:pPr>
              <w:spacing w:after="0"/>
              <w:rPr>
                <w:sz w:val="1"/>
                <w:szCs w:val="1"/>
                <w:color w:val="auto"/>
              </w:rPr>
            </w:pPr>
          </w:p>
        </w:tc>
      </w:tr>
      <w:tr>
        <w:trPr>
          <w:trHeight w:val="243"/>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2019 through August 31, 2019</w:t>
            </w:r>
          </w:p>
        </w:tc>
        <w:tc>
          <w:tcPr>
            <w:tcW w:w="15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35,119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67.57</w:t>
            </w:r>
          </w:p>
        </w:tc>
        <w:tc>
          <w:tcPr>
            <w:tcW w:w="120" w:type="dxa"/>
            <w:vAlign w:val="bottom"/>
          </w:tcPr>
          <w:p>
            <w:pPr>
              <w:spacing w:after="0"/>
              <w:rPr>
                <w:sz w:val="21"/>
                <w:szCs w:val="21"/>
                <w:color w:val="auto"/>
              </w:rPr>
            </w:pPr>
          </w:p>
        </w:tc>
        <w:tc>
          <w:tcPr>
            <w:tcW w:w="1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35,119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7,627,559</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2019 through September 30, 2019</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31,300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67.22</w:t>
            </w:r>
          </w:p>
        </w:tc>
        <w:tc>
          <w:tcPr>
            <w:tcW w:w="1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31,300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5,523,702</w:t>
            </w:r>
          </w:p>
        </w:tc>
        <w:tc>
          <w:tcPr>
            <w:tcW w:w="0" w:type="dxa"/>
            <w:vAlign w:val="bottom"/>
          </w:tcPr>
          <w:p>
            <w:pPr>
              <w:spacing w:after="0"/>
              <w:rPr>
                <w:sz w:val="1"/>
                <w:szCs w:val="1"/>
                <w:color w:val="auto"/>
              </w:rPr>
            </w:pPr>
          </w:p>
        </w:tc>
      </w:tr>
      <w:tr>
        <w:trPr>
          <w:trHeight w:val="257"/>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125,744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66.38</w:t>
            </w:r>
          </w:p>
        </w:tc>
        <w:tc>
          <w:tcPr>
            <w:tcW w:w="120" w:type="dxa"/>
            <w:vAlign w:val="bottom"/>
          </w:tcPr>
          <w:p>
            <w:pPr>
              <w:spacing w:after="0"/>
              <w:rPr>
                <w:sz w:val="22"/>
                <w:szCs w:val="22"/>
                <w:color w:val="auto"/>
              </w:rPr>
            </w:pPr>
          </w:p>
        </w:tc>
        <w:tc>
          <w:tcPr>
            <w:tcW w:w="18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125,744</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(1) Average of high and low price of common stock on the trading day prior to the vesting date of the shares of restricted stock.</w:t>
      </w:r>
    </w:p>
    <w:p>
      <w:pPr>
        <w:spacing w:after="0" w:line="223"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240" w:top="333" w:right="51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as part of this Quarterly Report on Form 10-Q:</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tcPr>
          <w:p>
            <w:pPr>
              <w:spacing w:after="0"/>
              <w:rPr>
                <w:sz w:val="17"/>
                <w:szCs w:val="17"/>
                <w:color w:val="auto"/>
              </w:rPr>
            </w:pPr>
          </w:p>
        </w:tc>
        <w:tc>
          <w:tcPr>
            <w:tcW w:w="1028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Amended and Restated Certificate of Incorporation of the Company, as in effect on the date hereof (incorporated by reference to Exhibit 3.1 of</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the Company’s Current Report on Form 8-K (File No. 1-33089) filed on October 25, 2006).</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24"/>
                <w:szCs w:val="24"/>
                <w:color w:val="auto"/>
              </w:rPr>
            </w:pPr>
          </w:p>
        </w:tc>
        <w:tc>
          <w:tcPr>
            <w:tcW w:w="10280" w:type="dxa"/>
            <w:vAlign w:val="bottom"/>
            <w:gridSpan w:val="13"/>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Certificate of Amendment to Amended and Restated Certificate of Incorporation of the Company (incorporated by reference to Annex A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0" w:type="dxa"/>
            <w:vAlign w:val="bottom"/>
            <w:tcBorders>
              <w:top w:val="single" w:sz="8" w:color="0000FF"/>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the Company’s Definitive Proxy Statement on Schedule 14A (File No. 1-33089) filed on April 26, 2019).</w:t>
              </w:r>
            </w:hyperlink>
          </w:p>
        </w:tc>
        <w:tc>
          <w:tcPr>
            <w:tcW w:w="2440" w:type="dxa"/>
            <w:vAlign w:val="bottom"/>
            <w:tcBorders>
              <w:top w:val="single" w:sz="8" w:color="0000FF"/>
            </w:tcBorders>
          </w:tcPr>
          <w:p>
            <w:pPr>
              <w:spacing w:after="0"/>
              <w:rPr>
                <w:sz w:val="17"/>
                <w:szCs w:val="17"/>
                <w:color w:val="auto"/>
              </w:rPr>
            </w:pPr>
          </w:p>
        </w:tc>
        <w:tc>
          <w:tcPr>
            <w:tcW w:w="24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tcPr>
          <w:p>
            <w:pPr>
              <w:spacing w:after="0"/>
              <w:rPr>
                <w:sz w:val="24"/>
                <w:szCs w:val="24"/>
                <w:color w:val="auto"/>
              </w:rPr>
            </w:pPr>
          </w:p>
        </w:tc>
        <w:tc>
          <w:tcPr>
            <w:tcW w:w="10280" w:type="dxa"/>
            <w:vAlign w:val="bottom"/>
            <w:gridSpan w:val="13"/>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Fifth Amended and Restated By-laws of ExlService Holdings, Inc. (incorporated by reference to Exhibit 3.2 of the Company’s Current Report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on Form 8-K (File No. 1-33089) filed on June 19, 2019)</w:t>
              </w:r>
            </w:hyperlink>
          </w:p>
        </w:tc>
        <w:tc>
          <w:tcPr>
            <w:tcW w:w="6180" w:type="dxa"/>
            <w:vAlign w:val="bottom"/>
            <w:tcBorders>
              <w:top w:val="single" w:sz="8" w:color="0000FF"/>
            </w:tcBorders>
            <w:gridSpan w:val="8"/>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24"/>
                <w:szCs w:val="24"/>
                <w:color w:val="auto"/>
              </w:rPr>
            </w:pPr>
          </w:p>
        </w:tc>
        <w:tc>
          <w:tcPr>
            <w:tcW w:w="10280" w:type="dxa"/>
            <w:vAlign w:val="bottom"/>
            <w:gridSpan w:val="13"/>
          </w:tcPr>
          <w:p>
            <w:pPr>
              <w:spacing w:after="0"/>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Certification of the Chief Executive Officer of ExlService Holdings, pursuant to Rule 13a-14(a) of the Exchange Act, as adopted pursuant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120" w:type="dxa"/>
            <w:vAlign w:val="bottom"/>
            <w:tcBorders>
              <w:top w:val="single" w:sz="8" w:color="0000FF"/>
            </w:tcBorders>
            <w:gridSpan w:val="9"/>
          </w:tcPr>
          <w:p>
            <w:pPr>
              <w:spacing w:after="0" w:line="196" w:lineRule="exact"/>
              <w:rPr>
                <w:rFonts w:ascii="Times New Roman" w:cs="Times New Roman" w:eastAsia="Times New Roman" w:hAnsi="Times New Roman"/>
                <w:sz w:val="18"/>
                <w:szCs w:val="18"/>
                <w:color w:val="0000FF"/>
              </w:rPr>
            </w:pPr>
            <w:hyperlink w:anchor="page65">
              <w:r>
                <w:rPr>
                  <w:rFonts w:ascii="Times New Roman" w:cs="Times New Roman" w:eastAsia="Times New Roman" w:hAnsi="Times New Roman"/>
                  <w:sz w:val="18"/>
                  <w:szCs w:val="18"/>
                  <w:color w:val="0000FF"/>
                </w:rPr>
                <w:t>Section 302 of the Sarbanes-Oxley Act of 2002.</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2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24"/>
                <w:szCs w:val="24"/>
                <w:color w:val="auto"/>
              </w:rPr>
            </w:pPr>
          </w:p>
        </w:tc>
        <w:tc>
          <w:tcPr>
            <w:tcW w:w="100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w w:val="99"/>
              </w:rPr>
            </w:pPr>
            <w:hyperlink w:anchor="page66">
              <w:r>
                <w:rPr>
                  <w:rFonts w:ascii="Times New Roman" w:cs="Times New Roman" w:eastAsia="Times New Roman" w:hAnsi="Times New Roman"/>
                  <w:sz w:val="18"/>
                  <w:szCs w:val="18"/>
                  <w:color w:val="0000FF"/>
                  <w:w w:val="99"/>
                </w:rPr>
                <w:t>Certification of the Chief Financial Officer of ExlService Holdings, pursuant to Rule 13a-14(a) of the Exchange Act, as adopted pursuant to</w:t>
              </w:r>
            </w:hyperlink>
          </w:p>
        </w:tc>
        <w:tc>
          <w:tcPr>
            <w:tcW w:w="2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Times New Roman" w:cs="Times New Roman" w:eastAsia="Times New Roman" w:hAnsi="Times New Roman"/>
                <w:sz w:val="18"/>
                <w:szCs w:val="18"/>
                <w:color w:val="0000FF"/>
              </w:rPr>
            </w:pPr>
            <w:hyperlink w:anchor="page66">
              <w:r>
                <w:rPr>
                  <w:rFonts w:ascii="Times New Roman" w:cs="Times New Roman" w:eastAsia="Times New Roman" w:hAnsi="Times New Roman"/>
                  <w:sz w:val="18"/>
                  <w:szCs w:val="18"/>
                  <w:color w:val="0000FF"/>
                </w:rPr>
                <w:t>Section 302 of the Sarbanes-Oxley Act of 2002.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5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24"/>
                <w:szCs w:val="24"/>
                <w:color w:val="auto"/>
              </w:rPr>
            </w:pPr>
          </w:p>
        </w:tc>
        <w:tc>
          <w:tcPr>
            <w:tcW w:w="10280" w:type="dxa"/>
            <w:vAlign w:val="bottom"/>
            <w:gridSpan w:val="13"/>
          </w:tcPr>
          <w:p>
            <w:pPr>
              <w:spacing w:after="0"/>
              <w:rPr>
                <w:rFonts w:ascii="Times New Roman" w:cs="Times New Roman" w:eastAsia="Times New Roman" w:hAnsi="Times New Roman"/>
                <w:sz w:val="18"/>
                <w:szCs w:val="18"/>
                <w:color w:val="0000FF"/>
              </w:rPr>
            </w:pPr>
            <w:hyperlink w:anchor="page67">
              <w:r>
                <w:rPr>
                  <w:rFonts w:ascii="Times New Roman" w:cs="Times New Roman" w:eastAsia="Times New Roman" w:hAnsi="Times New Roman"/>
                  <w:sz w:val="18"/>
                  <w:szCs w:val="18"/>
                  <w:color w:val="0000FF"/>
                </w:rPr>
                <w:t>Certification of the Chief Executive Officer pursuant to Rule 13a-14(b) of the Exchange Act and 18 U.S.C. Section 1350, as adopted pursuant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60" w:type="dxa"/>
            <w:vAlign w:val="bottom"/>
            <w:tcBorders>
              <w:top w:val="single" w:sz="8" w:color="0000FF"/>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w:anchor="page67">
              <w:r>
                <w:rPr>
                  <w:rFonts w:ascii="Times New Roman" w:cs="Times New Roman" w:eastAsia="Times New Roman" w:hAnsi="Times New Roman"/>
                  <w:sz w:val="18"/>
                  <w:szCs w:val="18"/>
                  <w:color w:val="0000FF"/>
                  <w:w w:val="99"/>
                </w:rPr>
                <w:t>to Section 906 of the Sarbanes-Oxley Act of 2002.</w:t>
              </w:r>
            </w:hyperlink>
          </w:p>
        </w:tc>
        <w:tc>
          <w:tcPr>
            <w:tcW w:w="6560" w:type="dxa"/>
            <w:vAlign w:val="bottom"/>
            <w:tcBorders>
              <w:top w:val="single" w:sz="8" w:color="0000FF"/>
            </w:tcBorders>
            <w:gridSpan w:val="8"/>
          </w:tcPr>
          <w:p>
            <w:pPr>
              <w:spacing w:after="0"/>
              <w:rPr>
                <w:sz w:val="17"/>
                <w:szCs w:val="17"/>
                <w:color w:val="auto"/>
              </w:rPr>
            </w:pPr>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24"/>
                <w:szCs w:val="24"/>
                <w:color w:val="auto"/>
              </w:rPr>
            </w:pPr>
          </w:p>
        </w:tc>
        <w:tc>
          <w:tcPr>
            <w:tcW w:w="1018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w:anchor="page68">
              <w:r>
                <w:rPr>
                  <w:rFonts w:ascii="Times New Roman" w:cs="Times New Roman" w:eastAsia="Times New Roman" w:hAnsi="Times New Roman"/>
                  <w:sz w:val="18"/>
                  <w:szCs w:val="18"/>
                  <w:color w:val="0000FF"/>
                  <w:w w:val="99"/>
                </w:rPr>
                <w:t>Certification of the Chief Financial Officer pursuant to Rule 13a-14(b) of the Exchange Act and 18 U.S.C. Section 1350, as adopted pursuant</w:t>
              </w:r>
            </w:hyperlink>
          </w:p>
        </w:tc>
        <w:tc>
          <w:tcPr>
            <w:tcW w:w="1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80" w:type="dxa"/>
            <w:vAlign w:val="bottom"/>
            <w:gridSpan w:val="13"/>
          </w:tcPr>
          <w:p>
            <w:pPr>
              <w:spacing w:after="0" w:line="196" w:lineRule="exact"/>
              <w:rPr>
                <w:rFonts w:ascii="Times New Roman" w:cs="Times New Roman" w:eastAsia="Times New Roman" w:hAnsi="Times New Roman"/>
                <w:sz w:val="18"/>
                <w:szCs w:val="18"/>
                <w:color w:val="0000FF"/>
              </w:rPr>
            </w:pPr>
            <w:hyperlink w:anchor="page68">
              <w:r>
                <w:rPr>
                  <w:rFonts w:ascii="Times New Roman" w:cs="Times New Roman" w:eastAsia="Times New Roman" w:hAnsi="Times New Roman"/>
                  <w:sz w:val="18"/>
                  <w:szCs w:val="18"/>
                  <w:color w:val="0000FF"/>
                </w:rPr>
                <w:t>to Section 906 of the Sarbanes-Oxley Act of 2002.</w:t>
              </w:r>
            </w:hyperlink>
          </w:p>
        </w:tc>
        <w:tc>
          <w:tcPr>
            <w:tcW w:w="0" w:type="dxa"/>
            <w:vAlign w:val="bottom"/>
          </w:tcPr>
          <w:p>
            <w:pPr>
              <w:spacing w:after="0"/>
              <w:rPr>
                <w:sz w:val="1"/>
                <w:szCs w:val="1"/>
                <w:color w:val="auto"/>
              </w:rPr>
            </w:pPr>
          </w:p>
        </w:tc>
      </w:tr>
      <w:tr>
        <w:trPr>
          <w:trHeight w:val="41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364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64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101.SCH</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Scheme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101.CAL</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101.DEF</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101.LAB</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0" w:type="dxa"/>
            <w:vAlign w:val="bottom"/>
          </w:tcPr>
          <w:p>
            <w:pPr>
              <w:spacing w:after="0"/>
              <w:rPr>
                <w:sz w:val="1"/>
                <w:szCs w:val="1"/>
                <w:color w:val="auto"/>
              </w:rPr>
            </w:pPr>
          </w:p>
        </w:tc>
      </w:tr>
      <w:tr>
        <w:trPr>
          <w:trHeight w:val="392"/>
        </w:trPr>
        <w:tc>
          <w:tcPr>
            <w:tcW w:w="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101.PRE</w:t>
            </w:r>
          </w:p>
        </w:tc>
        <w:tc>
          <w:tcPr>
            <w:tcW w:w="140" w:type="dxa"/>
            <w:vAlign w:val="bottom"/>
          </w:tcPr>
          <w:p>
            <w:pPr>
              <w:spacing w:after="0"/>
              <w:rPr>
                <w:sz w:val="24"/>
                <w:szCs w:val="24"/>
                <w:color w:val="auto"/>
              </w:rPr>
            </w:pPr>
          </w:p>
        </w:tc>
        <w:tc>
          <w:tcPr>
            <w:tcW w:w="1028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XBRL Extension Presentation Linkbase</w:t>
            </w:r>
          </w:p>
        </w:tc>
        <w:tc>
          <w:tcPr>
            <w:tcW w:w="0" w:type="dxa"/>
            <w:vAlign w:val="bottom"/>
          </w:tcPr>
          <w:p>
            <w:pPr>
              <w:spacing w:after="0"/>
              <w:rPr>
                <w:sz w:val="1"/>
                <w:szCs w:val="1"/>
                <w:color w:val="auto"/>
              </w:rPr>
            </w:pPr>
          </w:p>
        </w:tc>
      </w:tr>
      <w:tr>
        <w:trPr>
          <w:trHeight w:val="149"/>
        </w:trPr>
        <w:tc>
          <w:tcPr>
            <w:tcW w:w="920" w:type="dxa"/>
            <w:vAlign w:val="bottom"/>
            <w:tcBorders>
              <w:bottom w:val="single" w:sz="8" w:color="auto"/>
            </w:tcBorders>
          </w:tcPr>
          <w:p>
            <w:pPr>
              <w:spacing w:after="0"/>
              <w:rPr>
                <w:sz w:val="12"/>
                <w:szCs w:val="12"/>
                <w:color w:val="auto"/>
              </w:rPr>
            </w:pPr>
          </w:p>
        </w:tc>
        <w:tc>
          <w:tcPr>
            <w:tcW w:w="6740" w:type="dxa"/>
            <w:vAlign w:val="bottom"/>
            <w:gridSpan w:val="6"/>
            <w:vMerge w:val="restart"/>
          </w:tcPr>
          <w:p>
            <w:pPr>
              <w:jc w:val="right"/>
              <w:ind w:right="1860"/>
              <w:spacing w:after="0"/>
              <w:rPr>
                <w:sz w:val="20"/>
                <w:szCs w:val="20"/>
                <w:color w:val="auto"/>
              </w:rPr>
            </w:pPr>
            <w:r>
              <w:rPr>
                <w:rFonts w:ascii="Times New Roman" w:cs="Times New Roman" w:eastAsia="Times New Roman" w:hAnsi="Times New Roman"/>
                <w:sz w:val="18"/>
                <w:szCs w:val="18"/>
                <w:color w:val="auto"/>
              </w:rPr>
              <w:t>61</w:t>
            </w:r>
          </w:p>
        </w:tc>
        <w:tc>
          <w:tcPr>
            <w:tcW w:w="10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9"/>
        </w:trPr>
        <w:tc>
          <w:tcPr>
            <w:tcW w:w="920" w:type="dxa"/>
            <w:vAlign w:val="bottom"/>
          </w:tcPr>
          <w:p>
            <w:pPr>
              <w:spacing w:after="0"/>
              <w:rPr>
                <w:sz w:val="24"/>
                <w:szCs w:val="24"/>
                <w:color w:val="auto"/>
              </w:rPr>
            </w:pPr>
          </w:p>
        </w:tc>
        <w:tc>
          <w:tcPr>
            <w:tcW w:w="6740" w:type="dxa"/>
            <w:vAlign w:val="bottom"/>
            <w:gridSpan w:val="6"/>
            <w:vMerge w:val="continue"/>
          </w:tcPr>
          <w:p>
            <w:pPr>
              <w:spacing w:after="0"/>
              <w:rPr>
                <w:sz w:val="24"/>
                <w:szCs w:val="24"/>
                <w:color w:val="auto"/>
              </w:rPr>
            </w:pPr>
          </w:p>
        </w:tc>
        <w:tc>
          <w:tcPr>
            <w:tcW w:w="10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333" w:right="31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60"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30, 2019</w:t>
            </w:r>
          </w:p>
        </w:tc>
        <w:tc>
          <w:tcPr>
            <w:tcW w:w="802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EXLSERVICE HOLDINGS, INC.</w:t>
            </w:r>
          </w:p>
        </w:tc>
      </w:tr>
      <w:tr>
        <w:trPr>
          <w:trHeight w:val="594"/>
        </w:trPr>
        <w:tc>
          <w:tcPr>
            <w:tcW w:w="3340" w:type="dxa"/>
            <w:vAlign w:val="bottom"/>
          </w:tcPr>
          <w:p>
            <w:pPr>
              <w:spacing w:after="0"/>
              <w:rPr>
                <w:sz w:val="24"/>
                <w:szCs w:val="24"/>
                <w:color w:val="auto"/>
              </w:rPr>
            </w:pPr>
          </w:p>
        </w:tc>
        <w:tc>
          <w:tcPr>
            <w:tcW w:w="8020" w:type="dxa"/>
            <w:vAlign w:val="bottom"/>
            <w:gridSpan w:val="2"/>
          </w:tcPr>
          <w:p>
            <w:pPr>
              <w:ind w:left="166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4"/>
                <w:szCs w:val="14"/>
                <w:color w:val="auto"/>
              </w:rPr>
              <w:t>S</w:t>
            </w:r>
            <w:r>
              <w:rPr>
                <w:rFonts w:ascii="Times New Roman" w:cs="Times New Roman" w:eastAsia="Times New Roman" w:hAnsi="Times New Roman"/>
                <w:sz w:val="18"/>
                <w:szCs w:val="18"/>
                <w:color w:val="auto"/>
              </w:rPr>
              <w:t>/ V</w:t>
            </w:r>
            <w:r>
              <w:rPr>
                <w:rFonts w:ascii="Times New Roman" w:cs="Times New Roman" w:eastAsia="Times New Roman" w:hAnsi="Times New Roman"/>
                <w:sz w:val="14"/>
                <w:szCs w:val="14"/>
                <w:color w:val="auto"/>
              </w:rPr>
              <w:t>ISHAL</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HHIBBAR</w:t>
            </w:r>
          </w:p>
        </w:tc>
      </w:tr>
      <w:tr>
        <w:trPr>
          <w:trHeight w:val="27"/>
        </w:trPr>
        <w:tc>
          <w:tcPr>
            <w:tcW w:w="33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5800" w:type="dxa"/>
            <w:vAlign w:val="bottom"/>
            <w:tcBorders>
              <w:bottom w:val="single" w:sz="8" w:color="auto"/>
            </w:tcBorders>
          </w:tcPr>
          <w:p>
            <w:pPr>
              <w:spacing w:after="0"/>
              <w:rPr>
                <w:sz w:val="2"/>
                <w:szCs w:val="2"/>
                <w:color w:val="auto"/>
              </w:rPr>
            </w:pPr>
          </w:p>
        </w:tc>
      </w:tr>
      <w:tr>
        <w:trPr>
          <w:trHeight w:val="144"/>
        </w:trPr>
        <w:tc>
          <w:tcPr>
            <w:tcW w:w="3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0" w:type="dxa"/>
            <w:vAlign w:val="bottom"/>
          </w:tcPr>
          <w:p>
            <w:pPr>
              <w:ind w:left="20"/>
              <w:spacing w:after="0" w:line="145" w:lineRule="exact"/>
              <w:rPr>
                <w:sz w:val="20"/>
                <w:szCs w:val="20"/>
                <w:color w:val="auto"/>
              </w:rPr>
            </w:pPr>
            <w:r>
              <w:rPr>
                <w:rFonts w:ascii="Times New Roman" w:cs="Times New Roman" w:eastAsia="Times New Roman" w:hAnsi="Times New Roman"/>
                <w:sz w:val="14"/>
                <w:szCs w:val="14"/>
                <w:b w:val="1"/>
                <w:bCs w:val="1"/>
                <w:color w:val="auto"/>
              </w:rPr>
              <w:t>Vishal Chhibbar</w:t>
            </w:r>
          </w:p>
        </w:tc>
      </w:tr>
      <w:tr>
        <w:trPr>
          <w:trHeight w:val="149"/>
        </w:trPr>
        <w:tc>
          <w:tcPr>
            <w:tcW w:w="334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580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Chief Financial Officer</w:t>
            </w:r>
          </w:p>
        </w:tc>
      </w:tr>
      <w:tr>
        <w:trPr>
          <w:trHeight w:val="190"/>
        </w:trPr>
        <w:tc>
          <w:tcPr>
            <w:tcW w:w="334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(Duly Authorized Signatory, Principal Financial and Accounting Officer)</w:t>
            </w:r>
          </w:p>
        </w:tc>
      </w:tr>
      <w:tr>
        <w:trPr>
          <w:trHeight w:val="685"/>
        </w:trPr>
        <w:tc>
          <w:tcPr>
            <w:tcW w:w="3340" w:type="dxa"/>
            <w:vAlign w:val="bottom"/>
          </w:tcPr>
          <w:p>
            <w:pPr>
              <w:spacing w:after="0"/>
              <w:rPr>
                <w:sz w:val="24"/>
                <w:szCs w:val="24"/>
                <w:color w:val="auto"/>
              </w:rPr>
            </w:pPr>
          </w:p>
        </w:tc>
        <w:tc>
          <w:tcPr>
            <w:tcW w:w="802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62</w:t>
            </w:r>
          </w:p>
        </w:tc>
      </w:tr>
    </w:tbl>
    <w:p>
      <w:pPr>
        <w:sectPr>
          <w:pgSz w:w="11900" w:h="16838" w:orient="portrait"/>
          <w:cols w:equalWidth="0" w:num="1">
            <w:col w:w="11400"/>
          </w:cols>
          <w:pgMar w:left="240" w:top="333" w:right="25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Rohit Kapoor, certify that:</w:t>
      </w:r>
    </w:p>
    <w:p>
      <w:pPr>
        <w:spacing w:after="0" w:line="225"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October 30, 2019</w:t>
      </w:r>
      <w:r>
        <w:rPr>
          <w:sz w:val="20"/>
          <w:szCs w:val="20"/>
          <w:color w:val="auto"/>
        </w:rPr>
        <w:tab/>
      </w:r>
      <w:r>
        <w:rPr>
          <w:rFonts w:ascii="Times New Roman" w:cs="Times New Roman" w:eastAsia="Times New Roman" w:hAnsi="Times New Roman"/>
          <w:sz w:val="17"/>
          <w:szCs w:val="17"/>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ectPr>
          <w:pgSz w:w="11900" w:h="16838" w:orient="portrait"/>
          <w:cols w:equalWidth="0" w:num="1">
            <w:col w:w="11420"/>
          </w:cols>
          <w:pgMar w:left="240" w:top="576" w:right="2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CERTIFICATION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Vishal Chhibbar, certify that:</w:t>
      </w:r>
    </w:p>
    <w:p>
      <w:pPr>
        <w:spacing w:after="0" w:line="347"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of ExlService Holdings, Inc.;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740" w:hanging="327"/>
        <w:spacing w:after="0" w:line="266"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rFonts w:ascii="Times New Roman" w:cs="Times New Roman" w:eastAsia="Times New Roman" w:hAnsi="Times New Roman"/>
          <w:sz w:val="18"/>
          <w:szCs w:val="18"/>
          <w:color w:val="auto"/>
        </w:rPr>
      </w:pPr>
    </w:p>
    <w:p>
      <w:pPr>
        <w:ind w:left="420" w:hanging="412"/>
        <w:spacing w:after="0" w:line="282"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740" w:hanging="327"/>
        <w:spacing w:after="0" w:line="282" w:lineRule="auto"/>
        <w:tabs>
          <w:tab w:leader="none" w:pos="74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40"/>
        <w:spacing w:after="0"/>
        <w:tabs>
          <w:tab w:leader="none" w:pos="6300" w:val="left"/>
        </w:tabs>
        <w:rPr>
          <w:sz w:val="20"/>
          <w:szCs w:val="20"/>
          <w:color w:val="auto"/>
        </w:rPr>
      </w:pPr>
      <w:r>
        <w:rPr>
          <w:rFonts w:ascii="Times New Roman" w:cs="Times New Roman" w:eastAsia="Times New Roman" w:hAnsi="Times New Roman"/>
          <w:sz w:val="18"/>
          <w:szCs w:val="18"/>
          <w:color w:val="auto"/>
        </w:rPr>
        <w:t>Date: October 30, 2019</w:t>
      </w:r>
      <w:r>
        <w:rPr>
          <w:sz w:val="20"/>
          <w:szCs w:val="20"/>
          <w:color w:val="auto"/>
        </w:rPr>
        <w:tab/>
      </w:r>
      <w:r>
        <w:rPr>
          <w:rFonts w:ascii="Times New Roman" w:cs="Times New Roman" w:eastAsia="Times New Roman" w:hAnsi="Times New Roman"/>
          <w:sz w:val="17"/>
          <w:szCs w:val="17"/>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576" w:right="239" w:bottom="1440" w:gutter="0" w:footer="0" w:header="0"/>
        </w:sectPr>
      </w:pPr>
    </w:p>
    <w:bookmarkStart w:id="66" w:name="page67"/>
    <w:bookmarkEnd w:id="66"/>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September 30, 2019 as filed with the Securities and Exchange Commission on the date hereof (the “Report”), I, Rohit Kapoor, Vice-Chairman and Chief Executive Officer of the Company, certify, pursuant to 18 U.S.C. Section 1350, as adopted pursuant to Section 906 of the Sarbanes-Oxley Act of 2002, that:</w:t>
      </w:r>
    </w:p>
    <w:p>
      <w:pPr>
        <w:spacing w:after="0" w:line="21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Rohit Kapoor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Rohit Kapoor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Vice-Chairman and Chief Executive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30, 2019</w:t>
      </w:r>
    </w:p>
    <w:p>
      <w:pPr>
        <w:sectPr>
          <w:pgSz w:w="11900" w:h="16838" w:orient="portrait"/>
          <w:cols w:equalWidth="0" w:num="1">
            <w:col w:w="11420"/>
          </w:cols>
          <w:pgMar w:left="240" w:top="576"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ExlService Holdings, Inc. (the “Company”) on Form 10-Q for the period ended September 30, 2019 as filed with the Securities and Exchange Commission on the date hereof (the “Report”), I, Vishal Chhibbar,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Vishal Chhibbar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50082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50082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Vishal Chhibbar</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October 30, 2019</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emdash "/>
      <w:numFmt w:val="bullet"/>
      <w:start w:val="1"/>
    </w:lvl>
  </w:abstractNum>
  <w:abstractNum w:abstractNumId="4">
    <w:nsid w:val="140E0F76"/>
    <w:multiLevelType w:val="hybridMultilevel"/>
    <w:lvl w:ilvl="0">
      <w:lvlJc w:val="left"/>
      <w:lvlText w:val="%1."/>
      <w:numFmt w:val="lowerLetter"/>
      <w:start w:val="1"/>
    </w:lvl>
  </w:abstractNum>
  <w:abstractNum w:abstractNumId="5">
    <w:nsid w:val="3352255A"/>
    <w:multiLevelType w:val="hybridMultilevel"/>
    <w:lvl w:ilvl="0">
      <w:lvlJc w:val="left"/>
      <w:lvlText w:val="%1."/>
      <w:numFmt w:val="lowerRoman"/>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1)"/>
      <w:numFmt w:val="decimal"/>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1."/>
      <w:numFmt w:val="decimal"/>
      <w:start w:val="4"/>
    </w:lvl>
  </w:abstractNum>
  <w:abstractNum w:abstractNumId="11">
    <w:nsid w:val="6B68079A"/>
    <w:multiLevelType w:val="hybridMultilevel"/>
    <w:lvl w:ilvl="0">
      <w:lvlJc w:val="left"/>
      <w:lvlText w:val="%1."/>
      <w:numFmt w:val="decimal"/>
      <w:start w:val="9"/>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lvl w:ilvl="1">
      <w:lvlJc w:val="left"/>
      <w:lvlText w:val="•"/>
      <w:numFmt w:val="bullet"/>
      <w:start w:val="1"/>
    </w:lvl>
  </w:abstractNum>
  <w:abstractNum w:abstractNumId="14">
    <w:nsid w:val="519B500D"/>
    <w:multiLevelType w:val="hybridMultilevel"/>
    <w:lvl w:ilvl="0">
      <w:lvlJc w:val="left"/>
      <w:lvlText w:val="•"/>
      <w:numFmt w:val="bullet"/>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63" Type="http://schemas.openxmlformats.org/officeDocument/2006/relationships/hyperlink" Target="http://www.sec.gov/Archives/edgar/data/1297989/000119312506214684/dex31.htm" TargetMode="External"/><Relationship Id="rId64" Type="http://schemas.openxmlformats.org/officeDocument/2006/relationships/hyperlink" Target="http://www.sec.gov/Archives/edgar/data/1297989/000104746919002609/a2238453zdef14a.htm" TargetMode="External"/><Relationship Id="rId65" Type="http://schemas.openxmlformats.org/officeDocument/2006/relationships/hyperlink" Target="http://www.sec.gov/Archives/edgar/data/1297989/000114420419031504/tv523830_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2019-12-28T04:13:08Z</dcterms:created>
  <dcterms:modified xsi:type="dcterms:W3CDTF">2019-12-28T04:13:08Z</dcterms:modified>
</cp:coreProperties>
</file>