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50" w:orient="portrait"/>
          <w:cols w:equalWidth="0" w:num="2">
            <w:col w:w="2200" w:space="260"/>
            <w:col w:w="8540"/>
          </w:cols>
          <w:pgMar w:left="460" w:top="225"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Kapoor Rohit</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75"/>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12/16/2020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46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CEO &amp; Vice Chairman</w:t>
      </w:r>
    </w:p>
    <w:p>
      <w:pPr>
        <w:spacing w:after="0" w:line="266" w:lineRule="exact"/>
        <w:rPr>
          <w:sz w:val="24"/>
          <w:szCs w:val="24"/>
          <w:color w:val="auto"/>
        </w:rPr>
      </w:pPr>
    </w:p>
    <w:p>
      <w:pPr>
        <w:sectPr>
          <w:pgSz w:w="11900" w:h="16850" w:orient="portrait"/>
          <w:cols w:equalWidth="0" w:num="3">
            <w:col w:w="3200" w:space="720"/>
            <w:col w:w="3095" w:space="720"/>
            <w:col w:w="3265"/>
          </w:cols>
          <w:pgMar w:left="460" w:top="225" w:right="439" w:bottom="0" w:gutter="0" w:footer="0" w:header="0"/>
          <w:type w:val="continuous"/>
        </w:sectPr>
      </w:pP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740" w:type="dxa"/>
            <w:vAlign w:val="bottom"/>
            <w:shd w:val="clear" w:color="auto" w:fill="9A9A9A"/>
          </w:tcPr>
          <w:p>
            <w:pPr>
              <w:spacing w:after="0"/>
              <w:rPr>
                <w:sz w:val="2"/>
                <w:szCs w:val="2"/>
                <w:color w:val="auto"/>
              </w:rPr>
            </w:pPr>
          </w:p>
        </w:tc>
        <w:tc>
          <w:tcPr>
            <w:tcW w:w="356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gridSpan w:val="6"/>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560" w:type="dxa"/>
            <w:vAlign w:val="bottom"/>
            <w:gridSpan w:val="5"/>
            <w:vMerge w:val="continue"/>
          </w:tcPr>
          <w:p>
            <w:pPr>
              <w:spacing w:after="0"/>
              <w:rPr>
                <w:sz w:val="11"/>
                <w:szCs w:val="11"/>
                <w:color w:val="auto"/>
              </w:rPr>
            </w:pPr>
          </w:p>
        </w:tc>
        <w:tc>
          <w:tcPr>
            <w:tcW w:w="36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gridSpan w:val="2"/>
          </w:tcPr>
          <w:p>
            <w:pPr>
              <w:ind w:left="420"/>
              <w:spacing w:after="0"/>
              <w:rPr>
                <w:sz w:val="20"/>
                <w:szCs w:val="20"/>
                <w:color w:val="auto"/>
              </w:rPr>
            </w:pPr>
            <w:r>
              <w:rPr>
                <w:rFonts w:ascii="Arial" w:cs="Arial" w:eastAsia="Arial" w:hAnsi="Arial"/>
                <w:sz w:val="13"/>
                <w:szCs w:val="13"/>
                <w:color w:val="auto"/>
              </w:rPr>
              <w:t>Line)</w:t>
            </w:r>
          </w:p>
        </w:tc>
        <w:tc>
          <w:tcPr>
            <w:tcW w:w="1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800" w:type="dxa"/>
            <w:vAlign w:val="bottom"/>
          </w:tcPr>
          <w:p>
            <w:pPr>
              <w:ind w:left="140"/>
              <w:spacing w:after="0"/>
              <w:rPr>
                <w:sz w:val="20"/>
                <w:szCs w:val="20"/>
                <w:color w:val="auto"/>
              </w:rPr>
            </w:pPr>
            <w:r>
              <w:rPr>
                <w:rFonts w:ascii="Arial" w:cs="Arial" w:eastAsia="Arial" w:hAnsi="Arial"/>
                <w:sz w:val="17"/>
                <w:szCs w:val="17"/>
                <w:color w:val="0000FF"/>
              </w:rPr>
              <w:t>NY</w:t>
            </w:r>
          </w:p>
        </w:tc>
        <w:tc>
          <w:tcPr>
            <w:tcW w:w="1020" w:type="dxa"/>
            <w:vAlign w:val="bottom"/>
          </w:tcPr>
          <w:p>
            <w:pPr>
              <w:ind w:left="560"/>
              <w:spacing w:after="0"/>
              <w:rPr>
                <w:sz w:val="20"/>
                <w:szCs w:val="20"/>
                <w:color w:val="auto"/>
              </w:rPr>
            </w:pPr>
            <w:r>
              <w:rPr>
                <w:rFonts w:ascii="Arial" w:cs="Arial" w:eastAsia="Arial" w:hAnsi="Arial"/>
                <w:sz w:val="17"/>
                <w:szCs w:val="17"/>
                <w:color w:val="0000FF"/>
                <w:w w:val="92"/>
              </w:rPr>
              <w:t>10022</w:t>
            </w: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660" w:type="dxa"/>
            <w:vAlign w:val="bottom"/>
            <w:gridSpan w:val="6"/>
          </w:tcPr>
          <w:p>
            <w:pPr>
              <w:ind w:left="6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20" w:type="dxa"/>
            <w:vAlign w:val="bottom"/>
            <w:gridSpan w:val="4"/>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740" w:type="dxa"/>
            <w:vAlign w:val="bottom"/>
            <w:tcBorders>
              <w:top w:val="single" w:sz="8" w:color="EEEEEE"/>
            </w:tcBorders>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2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800" w:type="dxa"/>
            <w:vAlign w:val="bottom"/>
            <w:vMerge w:val="restart"/>
          </w:tcPr>
          <w:p>
            <w:pPr>
              <w:ind w:left="140"/>
              <w:spacing w:after="0"/>
              <w:rPr>
                <w:sz w:val="20"/>
                <w:szCs w:val="20"/>
                <w:color w:val="auto"/>
              </w:rPr>
            </w:pPr>
            <w:r>
              <w:rPr>
                <w:rFonts w:ascii="Arial" w:cs="Arial" w:eastAsia="Arial" w:hAnsi="Arial"/>
                <w:sz w:val="13"/>
                <w:szCs w:val="13"/>
                <w:color w:val="auto"/>
              </w:rPr>
              <w:t>(State)</w:t>
            </w:r>
          </w:p>
        </w:tc>
        <w:tc>
          <w:tcPr>
            <w:tcW w:w="1020" w:type="dxa"/>
            <w:vAlign w:val="bottom"/>
            <w:vMerge w:val="restart"/>
          </w:tcPr>
          <w:p>
            <w:pPr>
              <w:ind w:left="560"/>
              <w:spacing w:after="0"/>
              <w:rPr>
                <w:sz w:val="20"/>
                <w:szCs w:val="20"/>
                <w:color w:val="auto"/>
              </w:rPr>
            </w:pPr>
            <w:r>
              <w:rPr>
                <w:rFonts w:ascii="Arial" w:cs="Arial" w:eastAsia="Arial" w:hAnsi="Arial"/>
                <w:sz w:val="13"/>
                <w:szCs w:val="13"/>
                <w:color w:val="auto"/>
              </w:rPr>
              <w:t>(Zip)</w:t>
            </w: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tcPr>
          <w:p>
            <w:pPr>
              <w:ind w:left="2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gridSpan w:val="2"/>
          </w:tcPr>
          <w:p>
            <w:pPr>
              <w:spacing w:after="0"/>
              <w:rPr>
                <w:sz w:val="11"/>
                <w:szCs w:val="11"/>
                <w:color w:val="auto"/>
              </w:rPr>
            </w:pPr>
          </w:p>
        </w:tc>
        <w:tc>
          <w:tcPr>
            <w:tcW w:w="4260" w:type="dxa"/>
            <w:vAlign w:val="bottom"/>
            <w:tcBorders>
              <w:bottom w:val="single" w:sz="8" w:color="2C2C2C"/>
            </w:tcBorders>
            <w:gridSpan w:val="6"/>
          </w:tcPr>
          <w:p>
            <w:pPr>
              <w:spacing w:after="0"/>
              <w:rPr>
                <w:sz w:val="11"/>
                <w:szCs w:val="11"/>
                <w:color w:val="auto"/>
              </w:rPr>
            </w:pPr>
          </w:p>
        </w:tc>
        <w:tc>
          <w:tcPr>
            <w:tcW w:w="114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08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160" w:type="dxa"/>
            <w:vAlign w:val="bottom"/>
            <w:tcBorders>
              <w:top w:val="single" w:sz="8" w:color="2C2C2C"/>
            </w:tcBorders>
            <w:gridSpan w:val="10"/>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8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20" w:type="dxa"/>
            <w:vAlign w:val="bottom"/>
          </w:tcPr>
          <w:p>
            <w:pPr>
              <w:spacing w:after="0"/>
              <w:rPr>
                <w:sz w:val="15"/>
                <w:szCs w:val="15"/>
                <w:color w:val="auto"/>
              </w:rPr>
            </w:pPr>
          </w:p>
        </w:tc>
        <w:tc>
          <w:tcPr>
            <w:tcW w:w="1060" w:type="dxa"/>
            <w:vAlign w:val="bottom"/>
            <w:gridSpan w:val="2"/>
          </w:tcPr>
          <w:p>
            <w:pPr>
              <w:ind w:left="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jc w:val="center"/>
              <w:ind w:righ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7"/>
                <w:szCs w:val="7"/>
                <w:color w:val="auto"/>
              </w:rPr>
            </w:pPr>
          </w:p>
        </w:tc>
        <w:tc>
          <w:tcPr>
            <w:tcW w:w="11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000" w:type="dxa"/>
            <w:vAlign w:val="bottom"/>
            <w:tcBorders>
              <w:bottom w:val="single" w:sz="8" w:color="2C2C2C"/>
            </w:tcBorders>
            <w:gridSpan w:val="4"/>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00" w:type="dxa"/>
            <w:vAlign w:val="bottom"/>
            <w:gridSpan w:val="4"/>
          </w:tcPr>
          <w:p>
            <w:pPr>
              <w:ind w:left="60"/>
              <w:spacing w:after="0"/>
              <w:rPr>
                <w:sz w:val="20"/>
                <w:szCs w:val="20"/>
                <w:color w:val="auto"/>
              </w:rPr>
            </w:pPr>
            <w:r>
              <w:rPr>
                <w:rFonts w:ascii="Arial" w:cs="Arial" w:eastAsia="Arial" w:hAnsi="Arial"/>
                <w:sz w:val="17"/>
                <w:szCs w:val="17"/>
                <w:color w:val="0000FF"/>
              </w:rPr>
              <w:t>Common Stock, par value $0.001 per</w:t>
            </w:r>
          </w:p>
        </w:tc>
        <w:tc>
          <w:tcPr>
            <w:tcW w:w="1060" w:type="dxa"/>
            <w:vAlign w:val="bottom"/>
            <w:gridSpan w:val="2"/>
            <w:vMerge w:val="restart"/>
          </w:tcPr>
          <w:p>
            <w:pPr>
              <w:jc w:val="right"/>
              <w:ind w:right="93"/>
              <w:spacing w:after="0"/>
              <w:rPr>
                <w:sz w:val="20"/>
                <w:szCs w:val="20"/>
                <w:color w:val="auto"/>
              </w:rPr>
            </w:pPr>
            <w:r>
              <w:rPr>
                <w:rFonts w:ascii="Arial" w:cs="Arial" w:eastAsia="Arial" w:hAnsi="Arial"/>
                <w:sz w:val="17"/>
                <w:szCs w:val="17"/>
                <w:color w:val="0000FF"/>
              </w:rPr>
              <w:t>12/16/2020</w:t>
            </w:r>
          </w:p>
        </w:tc>
        <w:tc>
          <w:tcPr>
            <w:tcW w:w="112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vMerge w:val="restart"/>
          </w:tcPr>
          <w:p>
            <w:pPr>
              <w:jc w:val="right"/>
              <w:ind w:right="49"/>
              <w:spacing w:after="0"/>
              <w:rPr>
                <w:sz w:val="20"/>
                <w:szCs w:val="20"/>
                <w:color w:val="auto"/>
              </w:rPr>
            </w:pPr>
            <w:r>
              <w:rPr>
                <w:rFonts w:ascii="Arial" w:cs="Arial" w:eastAsia="Arial" w:hAnsi="Arial"/>
                <w:sz w:val="17"/>
                <w:szCs w:val="17"/>
                <w:color w:val="0000FF"/>
              </w:rPr>
              <w:t>7,199</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700" w:type="dxa"/>
            <w:vAlign w:val="bottom"/>
            <w:vMerge w:val="restart"/>
          </w:tcPr>
          <w:p>
            <w:pPr>
              <w:ind w:left="2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84.96</w:t>
            </w:r>
            <w:r>
              <w:rPr>
                <w:rFonts w:ascii="Arial" w:cs="Arial" w:eastAsia="Arial" w:hAnsi="Arial"/>
                <w:sz w:val="22"/>
                <w:szCs w:val="22"/>
                <w:color w:val="008000"/>
                <w:w w:val="94"/>
                <w:vertAlign w:val="superscript"/>
              </w:rPr>
              <w:t>(2)</w:t>
            </w:r>
          </w:p>
        </w:tc>
        <w:tc>
          <w:tcPr>
            <w:tcW w:w="40" w:type="dxa"/>
            <w:vAlign w:val="bottom"/>
          </w:tcPr>
          <w:p>
            <w:pPr>
              <w:spacing w:after="0"/>
              <w:rPr>
                <w:sz w:val="22"/>
                <w:szCs w:val="22"/>
                <w:color w:val="auto"/>
              </w:rPr>
            </w:pPr>
          </w:p>
        </w:tc>
        <w:tc>
          <w:tcPr>
            <w:tcW w:w="1100" w:type="dxa"/>
            <w:vAlign w:val="bottom"/>
            <w:vMerge w:val="restart"/>
          </w:tcPr>
          <w:p>
            <w:pPr>
              <w:ind w:left="260"/>
              <w:spacing w:after="0"/>
              <w:rPr>
                <w:sz w:val="20"/>
                <w:szCs w:val="20"/>
                <w:color w:val="auto"/>
              </w:rPr>
            </w:pPr>
            <w:r>
              <w:rPr>
                <w:rFonts w:ascii="Arial" w:cs="Arial" w:eastAsia="Arial" w:hAnsi="Arial"/>
                <w:sz w:val="17"/>
                <w:szCs w:val="17"/>
                <w:color w:val="0000FF"/>
              </w:rPr>
              <w:t>210,345</w:t>
            </w:r>
          </w:p>
        </w:tc>
        <w:tc>
          <w:tcPr>
            <w:tcW w:w="920" w:type="dxa"/>
            <w:vAlign w:val="bottom"/>
            <w:vMerge w:val="restart"/>
          </w:tcPr>
          <w:p>
            <w:pPr>
              <w:ind w:left="400"/>
              <w:spacing w:after="0"/>
              <w:rPr>
                <w:sz w:val="20"/>
                <w:szCs w:val="20"/>
                <w:color w:val="auto"/>
              </w:rPr>
            </w:pPr>
            <w:r>
              <w:rPr>
                <w:rFonts w:ascii="Arial" w:cs="Arial" w:eastAsia="Arial" w:hAnsi="Arial"/>
                <w:sz w:val="17"/>
                <w:szCs w:val="17"/>
                <w:color w:val="0000FF"/>
              </w:rPr>
              <w:t>D</w:t>
            </w: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8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000" w:type="dxa"/>
            <w:vAlign w:val="bottom"/>
            <w:tcBorders>
              <w:bottom w:val="single" w:sz="8" w:color="2C2C2C"/>
            </w:tcBorders>
            <w:gridSpan w:val="4"/>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00" w:type="dxa"/>
            <w:vAlign w:val="bottom"/>
            <w:gridSpan w:val="4"/>
          </w:tcPr>
          <w:p>
            <w:pPr>
              <w:ind w:left="60"/>
              <w:spacing w:after="0"/>
              <w:rPr>
                <w:sz w:val="20"/>
                <w:szCs w:val="20"/>
                <w:color w:val="auto"/>
              </w:rPr>
            </w:pPr>
            <w:r>
              <w:rPr>
                <w:rFonts w:ascii="Arial" w:cs="Arial" w:eastAsia="Arial" w:hAnsi="Arial"/>
                <w:sz w:val="17"/>
                <w:szCs w:val="17"/>
                <w:color w:val="0000FF"/>
              </w:rPr>
              <w:t>Common Stock, par value $0.001 per</w:t>
            </w:r>
          </w:p>
        </w:tc>
        <w:tc>
          <w:tcPr>
            <w:tcW w:w="1060" w:type="dxa"/>
            <w:vAlign w:val="bottom"/>
            <w:gridSpan w:val="2"/>
            <w:vMerge w:val="restart"/>
          </w:tcPr>
          <w:p>
            <w:pPr>
              <w:jc w:val="right"/>
              <w:ind w:right="93"/>
              <w:spacing w:after="0"/>
              <w:rPr>
                <w:sz w:val="20"/>
                <w:szCs w:val="20"/>
                <w:color w:val="auto"/>
              </w:rPr>
            </w:pPr>
            <w:r>
              <w:rPr>
                <w:rFonts w:ascii="Arial" w:cs="Arial" w:eastAsia="Arial" w:hAnsi="Arial"/>
                <w:sz w:val="17"/>
                <w:szCs w:val="17"/>
                <w:color w:val="0000FF"/>
              </w:rPr>
              <w:t>12/16/2020</w:t>
            </w:r>
          </w:p>
        </w:tc>
        <w:tc>
          <w:tcPr>
            <w:tcW w:w="112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(3)</w:t>
            </w:r>
          </w:p>
        </w:tc>
        <w:tc>
          <w:tcPr>
            <w:tcW w:w="720" w:type="dxa"/>
            <w:vAlign w:val="bottom"/>
            <w:vMerge w:val="restart"/>
          </w:tcPr>
          <w:p>
            <w:pPr>
              <w:jc w:val="right"/>
              <w:ind w:right="49"/>
              <w:spacing w:after="0"/>
              <w:rPr>
                <w:sz w:val="20"/>
                <w:szCs w:val="20"/>
                <w:color w:val="auto"/>
              </w:rPr>
            </w:pPr>
            <w:r>
              <w:rPr>
                <w:rFonts w:ascii="Arial" w:cs="Arial" w:eastAsia="Arial" w:hAnsi="Arial"/>
                <w:sz w:val="17"/>
                <w:szCs w:val="17"/>
                <w:color w:val="0000FF"/>
              </w:rPr>
              <w:t>4,978</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700" w:type="dxa"/>
            <w:vAlign w:val="bottom"/>
            <w:vMerge w:val="restart"/>
          </w:tcPr>
          <w:p>
            <w:pPr>
              <w:ind w:left="2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84.96</w:t>
            </w:r>
            <w:r>
              <w:rPr>
                <w:rFonts w:ascii="Arial" w:cs="Arial" w:eastAsia="Arial" w:hAnsi="Arial"/>
                <w:sz w:val="22"/>
                <w:szCs w:val="22"/>
                <w:color w:val="008000"/>
                <w:w w:val="94"/>
                <w:vertAlign w:val="superscript"/>
              </w:rPr>
              <w:t>(4)</w:t>
            </w:r>
          </w:p>
        </w:tc>
        <w:tc>
          <w:tcPr>
            <w:tcW w:w="40" w:type="dxa"/>
            <w:vAlign w:val="bottom"/>
          </w:tcPr>
          <w:p>
            <w:pPr>
              <w:spacing w:after="0"/>
              <w:rPr>
                <w:sz w:val="22"/>
                <w:szCs w:val="22"/>
                <w:color w:val="auto"/>
              </w:rPr>
            </w:pPr>
          </w:p>
        </w:tc>
        <w:tc>
          <w:tcPr>
            <w:tcW w:w="1100" w:type="dxa"/>
            <w:vAlign w:val="bottom"/>
            <w:vMerge w:val="restart"/>
          </w:tcPr>
          <w:p>
            <w:pPr>
              <w:ind w:left="260"/>
              <w:spacing w:after="0"/>
              <w:rPr>
                <w:sz w:val="20"/>
                <w:szCs w:val="20"/>
                <w:color w:val="auto"/>
              </w:rPr>
            </w:pPr>
            <w:r>
              <w:rPr>
                <w:rFonts w:ascii="Arial" w:cs="Arial" w:eastAsia="Arial" w:hAnsi="Arial"/>
                <w:sz w:val="17"/>
                <w:szCs w:val="17"/>
                <w:color w:val="0000FF"/>
              </w:rPr>
              <w:t>194,778</w:t>
            </w:r>
          </w:p>
        </w:tc>
        <w:tc>
          <w:tcPr>
            <w:tcW w:w="920" w:type="dxa"/>
            <w:vAlign w:val="bottom"/>
            <w:vMerge w:val="restart"/>
          </w:tcPr>
          <w:p>
            <w:pPr>
              <w:ind w:left="440"/>
              <w:spacing w:after="0"/>
              <w:rPr>
                <w:sz w:val="20"/>
                <w:szCs w:val="20"/>
                <w:color w:val="auto"/>
              </w:rPr>
            </w:pPr>
            <w:r>
              <w:rPr>
                <w:rFonts w:ascii="Arial" w:cs="Arial" w:eastAsia="Arial" w:hAnsi="Arial"/>
                <w:sz w:val="17"/>
                <w:szCs w:val="17"/>
                <w:color w:val="0000FF"/>
              </w:rPr>
              <w:t>I</w:t>
            </w:r>
          </w:p>
        </w:tc>
        <w:tc>
          <w:tcPr>
            <w:tcW w:w="900" w:type="dxa"/>
            <w:vAlign w:val="bottom"/>
            <w:gridSpan w:val="2"/>
          </w:tcPr>
          <w:p>
            <w:pPr>
              <w:ind w:left="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7"/>
                <w:szCs w:val="17"/>
                <w:color w:val="0000FF"/>
                <w:w w:val="96"/>
              </w:rPr>
              <w:t>Footnote</w:t>
            </w:r>
            <w:r>
              <w:rPr>
                <w:rFonts w:ascii="Arial" w:cs="Arial" w:eastAsia="Arial" w:hAnsi="Arial"/>
                <w:sz w:val="22"/>
                <w:szCs w:val="22"/>
                <w:color w:val="008000"/>
                <w:w w:val="96"/>
                <w:vertAlign w:val="superscript"/>
              </w:rPr>
              <w:t>(5)</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-1611630</wp:posOffset>
            </wp:positionV>
            <wp:extent cx="6964045" cy="30378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3037840"/>
                    </a:xfrm>
                    <a:prstGeom prst="rect">
                      <a:avLst/>
                    </a:prstGeom>
                    <a:noFill/>
                  </pic:spPr>
                </pic:pic>
              </a:graphicData>
            </a:graphic>
          </wp:anchor>
        </w:drawing>
      </w:r>
    </w:p>
    <w:p>
      <w:pPr>
        <w:sectPr>
          <w:pgSz w:w="11900" w:h="16850" w:orient="portrait"/>
          <w:cols w:equalWidth="0" w:num="1">
            <w:col w:w="11000"/>
          </w:cols>
          <w:pgMar w:left="460" w:top="225" w:right="439" w:bottom="0" w:gutter="0" w:footer="0" w:header="0"/>
          <w:type w:val="continuous"/>
        </w:sectPr>
      </w:pPr>
    </w:p>
    <w:p>
      <w:pPr>
        <w:spacing w:after="0" w:line="51"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48" w:lineRule="exact"/>
        <w:rPr>
          <w:sz w:val="24"/>
          <w:szCs w:val="24"/>
          <w:color w:val="auto"/>
        </w:rPr>
      </w:pPr>
    </w:p>
    <w:p>
      <w:pPr>
        <w:ind w:left="80"/>
        <w:spacing w:after="0"/>
        <w:rPr>
          <w:sz w:val="20"/>
          <w:szCs w:val="20"/>
          <w:color w:val="auto"/>
        </w:rPr>
      </w:pPr>
      <w:r>
        <w:rPr>
          <w:rFonts w:ascii="Arial" w:cs="Arial" w:eastAsia="Arial" w:hAnsi="Arial"/>
          <w:sz w:val="17"/>
          <w:szCs w:val="17"/>
          <w:color w:val="0000FF"/>
        </w:rPr>
        <w:t>share</w:t>
      </w:r>
    </w:p>
    <w:p>
      <w:pPr>
        <w:spacing w:after="0" w:line="144"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48" w:lineRule="exact"/>
        <w:rPr>
          <w:sz w:val="24"/>
          <w:szCs w:val="24"/>
          <w:color w:val="auto"/>
        </w:rPr>
      </w:pPr>
    </w:p>
    <w:p>
      <w:pPr>
        <w:ind w:left="80"/>
        <w:spacing w:after="0"/>
        <w:rPr>
          <w:sz w:val="20"/>
          <w:szCs w:val="20"/>
          <w:color w:val="auto"/>
        </w:rPr>
      </w:pPr>
      <w:r>
        <w:rPr>
          <w:rFonts w:ascii="Arial" w:cs="Arial" w:eastAsia="Arial" w:hAnsi="Arial"/>
          <w:sz w:val="17"/>
          <w:szCs w:val="17"/>
          <w:color w:val="0000FF"/>
        </w:rPr>
        <w:t>share</w:t>
      </w:r>
    </w:p>
    <w:p>
      <w:pPr>
        <w:spacing w:after="0" w:line="144"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48" w:lineRule="exact"/>
        <w:rPr>
          <w:sz w:val="24"/>
          <w:szCs w:val="24"/>
          <w:color w:val="auto"/>
        </w:rPr>
      </w:pPr>
    </w:p>
    <w:p>
      <w:pPr>
        <w:ind w:left="80"/>
        <w:spacing w:after="0"/>
        <w:rPr>
          <w:sz w:val="20"/>
          <w:szCs w:val="20"/>
          <w:color w:val="auto"/>
        </w:rPr>
      </w:pPr>
      <w:r>
        <w:rPr>
          <w:rFonts w:ascii="Arial" w:cs="Arial" w:eastAsia="Arial" w:hAnsi="Arial"/>
          <w:sz w:val="17"/>
          <w:szCs w:val="17"/>
          <w:color w:val="0000FF"/>
        </w:rPr>
        <w:t>share</w:t>
      </w:r>
    </w:p>
    <w:p>
      <w:pPr>
        <w:spacing w:after="0" w:line="144"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48" w:lineRule="exact"/>
        <w:rPr>
          <w:sz w:val="24"/>
          <w:szCs w:val="24"/>
          <w:color w:val="auto"/>
        </w:rPr>
      </w:pPr>
    </w:p>
    <w:p>
      <w:pPr>
        <w:ind w:left="80"/>
        <w:spacing w:after="0"/>
        <w:rPr>
          <w:sz w:val="20"/>
          <w:szCs w:val="20"/>
          <w:color w:val="auto"/>
        </w:rPr>
      </w:pPr>
      <w:r>
        <w:rPr>
          <w:rFonts w:ascii="Arial" w:cs="Arial" w:eastAsia="Arial" w:hAnsi="Arial"/>
          <w:sz w:val="17"/>
          <w:szCs w:val="17"/>
          <w:color w:val="0000FF"/>
        </w:rPr>
        <w:t>share</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920" w:type="dxa"/>
            <w:vAlign w:val="bottom"/>
            <w:vMerge w:val="restart"/>
          </w:tcPr>
          <w:p>
            <w:pPr>
              <w:jc w:val="center"/>
              <w:ind w:right="273"/>
              <w:spacing w:after="0"/>
              <w:rPr>
                <w:sz w:val="20"/>
                <w:szCs w:val="20"/>
                <w:color w:val="auto"/>
              </w:rPr>
            </w:pPr>
            <w:r>
              <w:rPr>
                <w:rFonts w:ascii="Arial" w:cs="Arial" w:eastAsia="Arial" w:hAnsi="Arial"/>
                <w:sz w:val="17"/>
                <w:szCs w:val="17"/>
                <w:color w:val="0000FF"/>
                <w:w w:val="92"/>
              </w:rPr>
              <w:t>40,219</w:t>
            </w:r>
          </w:p>
        </w:tc>
        <w:tc>
          <w:tcPr>
            <w:tcW w:w="660" w:type="dxa"/>
            <w:vAlign w:val="bottom"/>
            <w:vMerge w:val="restart"/>
          </w:tcPr>
          <w:p>
            <w:pPr>
              <w:ind w:left="360"/>
              <w:spacing w:after="0"/>
              <w:rPr>
                <w:sz w:val="20"/>
                <w:szCs w:val="20"/>
                <w:color w:val="auto"/>
              </w:rPr>
            </w:pPr>
            <w:r>
              <w:rPr>
                <w:rFonts w:ascii="Arial" w:cs="Arial" w:eastAsia="Arial" w:hAnsi="Arial"/>
                <w:sz w:val="17"/>
                <w:szCs w:val="17"/>
                <w:color w:val="0000FF"/>
              </w:rPr>
              <w:t>I</w:t>
            </w:r>
          </w:p>
        </w:tc>
        <w:tc>
          <w:tcPr>
            <w:tcW w:w="1000" w:type="dxa"/>
            <w:vAlign w:val="bottom"/>
          </w:tcPr>
          <w:p>
            <w:pPr>
              <w:ind w:left="24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92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000" w:type="dxa"/>
            <w:vAlign w:val="bottom"/>
            <w:vMerge w:val="restart"/>
          </w:tcPr>
          <w:p>
            <w:pPr>
              <w:ind w:left="240"/>
              <w:spacing w:after="0"/>
              <w:rPr>
                <w:sz w:val="20"/>
                <w:szCs w:val="20"/>
                <w:color w:val="auto"/>
              </w:rPr>
            </w:pPr>
            <w:r>
              <w:rPr>
                <w:rFonts w:ascii="Arial" w:cs="Arial" w:eastAsia="Arial" w:hAnsi="Arial"/>
                <w:sz w:val="17"/>
                <w:szCs w:val="17"/>
                <w:color w:val="0000FF"/>
                <w:w w:val="86"/>
              </w:rPr>
              <w:t>Footnote</w:t>
            </w:r>
            <w:r>
              <w:rPr>
                <w:rFonts w:ascii="Arial" w:cs="Arial" w:eastAsia="Arial" w:hAnsi="Arial"/>
                <w:sz w:val="22"/>
                <w:szCs w:val="22"/>
                <w:color w:val="008000"/>
                <w:w w:val="86"/>
                <w:vertAlign w:val="superscript"/>
              </w:rPr>
              <w:t>(6)</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920" w:type="dxa"/>
            <w:vAlign w:val="bottom"/>
            <w:vMerge w:val="restart"/>
          </w:tcPr>
          <w:p>
            <w:pPr>
              <w:jc w:val="center"/>
              <w:ind w:right="273"/>
              <w:spacing w:after="0"/>
              <w:rPr>
                <w:sz w:val="20"/>
                <w:szCs w:val="20"/>
                <w:color w:val="auto"/>
              </w:rPr>
            </w:pPr>
            <w:r>
              <w:rPr>
                <w:rFonts w:ascii="Arial" w:cs="Arial" w:eastAsia="Arial" w:hAnsi="Arial"/>
                <w:sz w:val="17"/>
                <w:szCs w:val="17"/>
                <w:color w:val="0000FF"/>
                <w:w w:val="91"/>
              </w:rPr>
              <w:t>177,134</w:t>
            </w:r>
          </w:p>
        </w:tc>
        <w:tc>
          <w:tcPr>
            <w:tcW w:w="660" w:type="dxa"/>
            <w:vAlign w:val="bottom"/>
            <w:vMerge w:val="restart"/>
          </w:tcPr>
          <w:p>
            <w:pPr>
              <w:ind w:left="360"/>
              <w:spacing w:after="0"/>
              <w:rPr>
                <w:sz w:val="20"/>
                <w:szCs w:val="20"/>
                <w:color w:val="auto"/>
              </w:rPr>
            </w:pPr>
            <w:r>
              <w:rPr>
                <w:rFonts w:ascii="Arial" w:cs="Arial" w:eastAsia="Arial" w:hAnsi="Arial"/>
                <w:sz w:val="17"/>
                <w:szCs w:val="17"/>
                <w:color w:val="0000FF"/>
              </w:rPr>
              <w:t>I</w:t>
            </w:r>
          </w:p>
        </w:tc>
        <w:tc>
          <w:tcPr>
            <w:tcW w:w="1000" w:type="dxa"/>
            <w:vAlign w:val="bottom"/>
          </w:tcPr>
          <w:p>
            <w:pPr>
              <w:ind w:left="24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92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000" w:type="dxa"/>
            <w:vAlign w:val="bottom"/>
            <w:vMerge w:val="restart"/>
          </w:tcPr>
          <w:p>
            <w:pPr>
              <w:ind w:left="240"/>
              <w:spacing w:after="0"/>
              <w:rPr>
                <w:sz w:val="20"/>
                <w:szCs w:val="20"/>
                <w:color w:val="auto"/>
              </w:rPr>
            </w:pPr>
            <w:r>
              <w:rPr>
                <w:rFonts w:ascii="Arial" w:cs="Arial" w:eastAsia="Arial" w:hAnsi="Arial"/>
                <w:sz w:val="17"/>
                <w:szCs w:val="17"/>
                <w:color w:val="0000FF"/>
                <w:w w:val="86"/>
              </w:rPr>
              <w:t>Footnote</w:t>
            </w:r>
            <w:r>
              <w:rPr>
                <w:rFonts w:ascii="Arial" w:cs="Arial" w:eastAsia="Arial" w:hAnsi="Arial"/>
                <w:sz w:val="22"/>
                <w:szCs w:val="22"/>
                <w:color w:val="008000"/>
                <w:w w:val="86"/>
                <w:vertAlign w:val="superscript"/>
              </w:rPr>
              <w:t>(7)</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920" w:type="dxa"/>
            <w:vAlign w:val="bottom"/>
            <w:vMerge w:val="restart"/>
          </w:tcPr>
          <w:p>
            <w:pPr>
              <w:jc w:val="center"/>
              <w:ind w:right="273"/>
              <w:spacing w:after="0"/>
              <w:rPr>
                <w:sz w:val="20"/>
                <w:szCs w:val="20"/>
                <w:color w:val="auto"/>
              </w:rPr>
            </w:pPr>
            <w:r>
              <w:rPr>
                <w:rFonts w:ascii="Arial" w:cs="Arial" w:eastAsia="Arial" w:hAnsi="Arial"/>
                <w:sz w:val="17"/>
                <w:szCs w:val="17"/>
                <w:color w:val="0000FF"/>
                <w:w w:val="92"/>
              </w:rPr>
              <w:t>84,000</w:t>
            </w:r>
          </w:p>
        </w:tc>
        <w:tc>
          <w:tcPr>
            <w:tcW w:w="660" w:type="dxa"/>
            <w:vAlign w:val="bottom"/>
            <w:vMerge w:val="restart"/>
          </w:tcPr>
          <w:p>
            <w:pPr>
              <w:ind w:left="360"/>
              <w:spacing w:after="0"/>
              <w:rPr>
                <w:sz w:val="20"/>
                <w:szCs w:val="20"/>
                <w:color w:val="auto"/>
              </w:rPr>
            </w:pPr>
            <w:r>
              <w:rPr>
                <w:rFonts w:ascii="Arial" w:cs="Arial" w:eastAsia="Arial" w:hAnsi="Arial"/>
                <w:sz w:val="17"/>
                <w:szCs w:val="17"/>
                <w:color w:val="0000FF"/>
              </w:rPr>
              <w:t>I</w:t>
            </w:r>
          </w:p>
        </w:tc>
        <w:tc>
          <w:tcPr>
            <w:tcW w:w="1000" w:type="dxa"/>
            <w:vAlign w:val="bottom"/>
          </w:tcPr>
          <w:p>
            <w:pPr>
              <w:ind w:left="24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92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000" w:type="dxa"/>
            <w:vAlign w:val="bottom"/>
            <w:vMerge w:val="restart"/>
          </w:tcPr>
          <w:p>
            <w:pPr>
              <w:ind w:left="240"/>
              <w:spacing w:after="0"/>
              <w:rPr>
                <w:sz w:val="20"/>
                <w:szCs w:val="20"/>
                <w:color w:val="auto"/>
              </w:rPr>
            </w:pPr>
            <w:r>
              <w:rPr>
                <w:rFonts w:ascii="Arial" w:cs="Arial" w:eastAsia="Arial" w:hAnsi="Arial"/>
                <w:sz w:val="17"/>
                <w:szCs w:val="17"/>
                <w:color w:val="0000FF"/>
                <w:w w:val="86"/>
              </w:rPr>
              <w:t>Footnote</w:t>
            </w:r>
            <w:r>
              <w:rPr>
                <w:rFonts w:ascii="Arial" w:cs="Arial" w:eastAsia="Arial" w:hAnsi="Arial"/>
                <w:sz w:val="22"/>
                <w:szCs w:val="22"/>
                <w:color w:val="008000"/>
                <w:w w:val="86"/>
                <w:vertAlign w:val="superscript"/>
              </w:rPr>
              <w:t>(8)</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920" w:type="dxa"/>
            <w:vAlign w:val="bottom"/>
            <w:vMerge w:val="restart"/>
          </w:tcPr>
          <w:p>
            <w:pPr>
              <w:jc w:val="center"/>
              <w:ind w:right="273"/>
              <w:spacing w:after="0"/>
              <w:rPr>
                <w:sz w:val="20"/>
                <w:szCs w:val="20"/>
                <w:color w:val="auto"/>
              </w:rPr>
            </w:pPr>
            <w:r>
              <w:rPr>
                <w:rFonts w:ascii="Arial" w:cs="Arial" w:eastAsia="Arial" w:hAnsi="Arial"/>
                <w:sz w:val="17"/>
                <w:szCs w:val="17"/>
                <w:color w:val="0000FF"/>
                <w:w w:val="92"/>
              </w:rPr>
              <w:t>84,000</w:t>
            </w:r>
          </w:p>
        </w:tc>
        <w:tc>
          <w:tcPr>
            <w:tcW w:w="660" w:type="dxa"/>
            <w:vAlign w:val="bottom"/>
            <w:vMerge w:val="restart"/>
          </w:tcPr>
          <w:p>
            <w:pPr>
              <w:ind w:left="360"/>
              <w:spacing w:after="0"/>
              <w:rPr>
                <w:sz w:val="20"/>
                <w:szCs w:val="20"/>
                <w:color w:val="auto"/>
              </w:rPr>
            </w:pPr>
            <w:r>
              <w:rPr>
                <w:rFonts w:ascii="Arial" w:cs="Arial" w:eastAsia="Arial" w:hAnsi="Arial"/>
                <w:sz w:val="17"/>
                <w:szCs w:val="17"/>
                <w:color w:val="0000FF"/>
              </w:rPr>
              <w:t>I</w:t>
            </w:r>
          </w:p>
        </w:tc>
        <w:tc>
          <w:tcPr>
            <w:tcW w:w="1000" w:type="dxa"/>
            <w:vAlign w:val="bottom"/>
          </w:tcPr>
          <w:p>
            <w:pPr>
              <w:ind w:left="24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92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000" w:type="dxa"/>
            <w:vAlign w:val="bottom"/>
            <w:vMerge w:val="restart"/>
          </w:tcPr>
          <w:p>
            <w:pPr>
              <w:ind w:left="240"/>
              <w:spacing w:after="0"/>
              <w:rPr>
                <w:sz w:val="20"/>
                <w:szCs w:val="20"/>
                <w:color w:val="auto"/>
              </w:rPr>
            </w:pPr>
            <w:r>
              <w:rPr>
                <w:rFonts w:ascii="Arial" w:cs="Arial" w:eastAsia="Arial" w:hAnsi="Arial"/>
                <w:sz w:val="17"/>
                <w:szCs w:val="17"/>
                <w:color w:val="0000FF"/>
                <w:w w:val="86"/>
              </w:rPr>
              <w:t>Footnote</w:t>
            </w:r>
            <w:r>
              <w:rPr>
                <w:rFonts w:ascii="Arial" w:cs="Arial" w:eastAsia="Arial" w:hAnsi="Arial"/>
                <w:sz w:val="22"/>
                <w:szCs w:val="22"/>
                <w:color w:val="008000"/>
                <w:w w:val="86"/>
                <w:vertAlign w:val="superscript"/>
              </w:rPr>
              <w:t>(9)</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3810</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7" w:lineRule="exact"/>
        <w:rPr>
          <w:sz w:val="24"/>
          <w:szCs w:val="24"/>
          <w:color w:val="auto"/>
        </w:rPr>
      </w:pPr>
    </w:p>
    <w:p>
      <w:pPr>
        <w:sectPr>
          <w:pgSz w:w="11900" w:h="16850" w:orient="portrait"/>
          <w:cols w:equalWidth="0" w:num="2">
            <w:col w:w="7600" w:space="720"/>
            <w:col w:w="2680"/>
          </w:cols>
          <w:pgMar w:left="460" w:top="225" w:right="439" w:bottom="0" w:gutter="0" w:footer="0" w:header="0"/>
          <w:type w:val="continuous"/>
        </w:sect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sale was made pursuant to a 10b5-1 plan previously entered into by the reporting person.</w:t>
      </w:r>
    </w:p>
    <w:p>
      <w:pPr>
        <w:spacing w:after="0" w:line="50" w:lineRule="exact"/>
        <w:rPr>
          <w:rFonts w:ascii="Arial" w:cs="Arial" w:eastAsia="Arial" w:hAnsi="Arial"/>
          <w:sz w:val="13"/>
          <w:szCs w:val="13"/>
          <w:color w:val="008000"/>
        </w:rPr>
      </w:pPr>
    </w:p>
    <w:p>
      <w:pPr>
        <w:ind w:left="40" w:right="36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$84.95 to $85.05 per share. The price reported above reflects the weighted average purchase price on the date indicated. The reporting person hereby undertakes to provide upon request to the SEC staff, the issuer or a security holder of the issuer full information regarding the number of shares.</w:t>
      </w: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sale was made pursuant to a 10b5-1 plan previously entered into by the Rohit Kapoor 2016 Family Trust.</w:t>
      </w:r>
    </w:p>
    <w:p>
      <w:pPr>
        <w:spacing w:after="0" w:line="50" w:lineRule="exact"/>
        <w:rPr>
          <w:rFonts w:ascii="Arial" w:cs="Arial" w:eastAsia="Arial" w:hAnsi="Arial"/>
          <w:sz w:val="13"/>
          <w:szCs w:val="13"/>
          <w:color w:val="008000"/>
        </w:rPr>
      </w:pPr>
    </w:p>
    <w:p>
      <w:pPr>
        <w:ind w:left="40" w:right="36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$84.95 to $85.04 per share. The price reported above reflects the weighted average purchase price on the date indicated. The reporting person hereby undertakes to provide upon request to the SEC staff, the issuer or a security holder of the issuer full information regarding the number of shares.</w:t>
      </w: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Rohit Kapoor 2016 Family Trust.</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2016 Kapoor Family Trust Created Under the Rohit Kapoor 2013 GRAT.</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2016 Kapoor Family Trust Created Under the Rohit Kapoor 2005 GRAT.</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Rohit Kapoor Spousal Lifetime Access Trust.</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Shikha Kapoor 2005 Family Trust.</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ind w:left="6580"/>
        <w:spacing w:after="0" w:line="186"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12/18/2020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63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50" w:orient="portrait"/>
          <w:cols w:equalWidth="0" w:num="1">
            <w:col w:w="11000"/>
          </w:cols>
          <w:pgMar w:left="460" w:top="225" w:right="43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373630"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2020-12-18T16:02:48Z</dcterms:created>
  <dcterms:modified xsi:type="dcterms:W3CDTF">2020-12-18T16:02:48Z</dcterms:modified>
</cp:coreProperties>
</file>