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6)*</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302081104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(Date of Event Which Requires Filing of this Statement)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2280" w:hanging="327"/>
        <w:spacing w:after="0"/>
        <w:tabs>
          <w:tab w:leader="none" w:pos="228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79" w:lineRule="exact"/>
        <w:rPr>
          <w:rFonts w:ascii="Arial" w:cs="Arial" w:eastAsia="Arial" w:hAnsi="Arial"/>
          <w:sz w:val="18"/>
          <w:szCs w:val="18"/>
          <w:color w:val="auto"/>
        </w:rPr>
      </w:pPr>
    </w:p>
    <w:p>
      <w:pPr>
        <w:jc w:val="both"/>
        <w:ind w:left="1960" w:right="8120" w:hanging="7"/>
        <w:spacing w:after="0" w:line="634" w:lineRule="auto"/>
        <w:tabs>
          <w:tab w:leader="none" w:pos="2284"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13d-1(c) x Rule 13d-1(d)</w:t>
      </w:r>
    </w:p>
    <w:p>
      <w:pPr>
        <w:ind w:left="500" w:right="240" w:hanging="486"/>
        <w:spacing w:after="0" w:line="308"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7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746125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2 of 5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246620" cy="5574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7560" w:type="dxa"/>
            <w:vAlign w:val="bottom"/>
          </w:tcPr>
          <w:p>
            <w:pPr>
              <w:ind w:left="540"/>
              <w:spacing w:after="0"/>
              <w:rPr>
                <w:sz w:val="20"/>
                <w:szCs w:val="20"/>
                <w:color w:val="auto"/>
              </w:rPr>
            </w:pPr>
            <w:r>
              <w:rPr>
                <w:rFonts w:ascii="Arial" w:cs="Arial" w:eastAsia="Arial" w:hAnsi="Arial"/>
                <w:sz w:val="18"/>
                <w:szCs w:val="18"/>
                <w:color w:val="auto"/>
              </w:rPr>
              <w:t>NAME OF REPORTING PERSON OR</w:t>
            </w:r>
          </w:p>
        </w:tc>
        <w:tc>
          <w:tcPr>
            <w:tcW w:w="318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I.R.S. IDENTIFICATION NO. OF ABOVE PERSON</w:t>
            </w:r>
          </w:p>
        </w:tc>
        <w:tc>
          <w:tcPr>
            <w:tcW w:w="318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Rohit Kapoor</w:t>
            </w:r>
          </w:p>
        </w:tc>
        <w:tc>
          <w:tcPr>
            <w:tcW w:w="318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7560" w:type="dxa"/>
            <w:vAlign w:val="bottom"/>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3180" w:type="dxa"/>
            <w:vAlign w:val="bottom"/>
          </w:tcPr>
          <w:p>
            <w:pPr>
              <w:ind w:left="208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180" w:type="dxa"/>
            <w:vAlign w:val="bottom"/>
          </w:tcPr>
          <w:p>
            <w:pPr>
              <w:ind w:left="208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75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7560" w:type="dxa"/>
            <w:vAlign w:val="bottom"/>
          </w:tcPr>
          <w:p>
            <w:pPr>
              <w:ind w:left="540"/>
              <w:spacing w:after="0"/>
              <w:rPr>
                <w:sz w:val="20"/>
                <w:szCs w:val="20"/>
                <w:color w:val="auto"/>
              </w:rPr>
            </w:pPr>
            <w:r>
              <w:rPr>
                <w:rFonts w:ascii="Arial" w:cs="Arial" w:eastAsia="Arial" w:hAnsi="Arial"/>
                <w:sz w:val="18"/>
                <w:szCs w:val="18"/>
                <w:color w:val="auto"/>
              </w:rPr>
              <w:t>SEC USE ONLY</w:t>
            </w:r>
          </w:p>
        </w:tc>
        <w:tc>
          <w:tcPr>
            <w:tcW w:w="3180" w:type="dxa"/>
            <w:vAlign w:val="bottom"/>
          </w:tcPr>
          <w:p>
            <w:pPr>
              <w:spacing w:after="0"/>
              <w:rPr>
                <w:sz w:val="21"/>
                <w:szCs w:val="21"/>
                <w:color w:val="auto"/>
              </w:rPr>
            </w:pPr>
          </w:p>
        </w:tc>
      </w:tr>
    </w:tbl>
    <w:p>
      <w:pPr>
        <w:spacing w:after="0" w:line="200" w:lineRule="exact"/>
        <w:rPr>
          <w:sz w:val="20"/>
          <w:szCs w:val="20"/>
          <w:color w:val="auto"/>
        </w:rPr>
      </w:pPr>
    </w:p>
    <w:p>
      <w:pPr>
        <w:spacing w:after="0" w:line="299" w:lineRule="exact"/>
        <w:rPr>
          <w:sz w:val="20"/>
          <w:szCs w:val="20"/>
          <w:color w:val="auto"/>
        </w:rPr>
      </w:pPr>
    </w:p>
    <w:p>
      <w:pPr>
        <w:ind w:left="1220" w:hanging="1158"/>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1,736,004</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501,185</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1,736,004</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2"/>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501,185</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2,237,189</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3"/>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6.8%</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IN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9"/>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97"/>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CUSIP No. 302081104</w:t>
            </w:r>
          </w:p>
        </w:tc>
        <w:tc>
          <w:tcPr>
            <w:tcW w:w="2620" w:type="dxa"/>
            <w:vAlign w:val="bottom"/>
          </w:tcPr>
          <w:p>
            <w:pPr>
              <w:spacing w:after="0"/>
              <w:rPr>
                <w:sz w:val="24"/>
                <w:szCs w:val="24"/>
                <w:color w:val="auto"/>
              </w:rPr>
            </w:pPr>
          </w:p>
        </w:tc>
        <w:tc>
          <w:tcPr>
            <w:tcW w:w="426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3 of 5 Pages</w:t>
            </w:r>
          </w:p>
        </w:tc>
      </w:tr>
      <w:tr>
        <w:trPr>
          <w:trHeight w:val="760"/>
        </w:trPr>
        <w:tc>
          <w:tcPr>
            <w:tcW w:w="10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rPr>
              <w:t>Name of Issuer:</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80" w:type="dxa"/>
            <w:vAlign w:val="bottom"/>
            <w:gridSpan w:val="2"/>
          </w:tcPr>
          <w:p>
            <w:pPr>
              <w:ind w:left="940"/>
              <w:spacing w:after="0"/>
              <w:rPr>
                <w:sz w:val="20"/>
                <w:szCs w:val="20"/>
                <w:color w:val="auto"/>
              </w:rPr>
            </w:pPr>
            <w:r>
              <w:rPr>
                <w:rFonts w:ascii="Arial" w:cs="Arial" w:eastAsia="Arial" w:hAnsi="Arial"/>
                <w:sz w:val="18"/>
                <w:szCs w:val="18"/>
                <w:color w:val="auto"/>
              </w:rPr>
              <w:t>ExlService Holdings, Inc.</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10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w w:val="95"/>
              </w:rPr>
              <w:t>Address of Issuer’s Principal Executive Offices:</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72"/>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80" w:type="dxa"/>
            <w:vAlign w:val="bottom"/>
            <w:gridSpan w:val="2"/>
          </w:tcPr>
          <w:p>
            <w:pPr>
              <w:ind w:left="940"/>
              <w:spacing w:after="0"/>
              <w:rPr>
                <w:sz w:val="20"/>
                <w:szCs w:val="20"/>
                <w:color w:val="auto"/>
              </w:rPr>
            </w:pPr>
            <w:r>
              <w:rPr>
                <w:rFonts w:ascii="Arial" w:cs="Arial" w:eastAsia="Arial" w:hAnsi="Arial"/>
                <w:sz w:val="18"/>
                <w:szCs w:val="18"/>
                <w:color w:val="auto"/>
              </w:rPr>
              <w:t>280 Park Avenue</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80" w:type="dxa"/>
            <w:vAlign w:val="bottom"/>
            <w:gridSpan w:val="2"/>
          </w:tcPr>
          <w:p>
            <w:pPr>
              <w:ind w:left="940"/>
              <w:spacing w:after="0"/>
              <w:rPr>
                <w:sz w:val="20"/>
                <w:szCs w:val="20"/>
                <w:color w:val="auto"/>
              </w:rPr>
            </w:pPr>
            <w:r>
              <w:rPr>
                <w:rFonts w:ascii="Arial" w:cs="Arial" w:eastAsia="Arial" w:hAnsi="Arial"/>
                <w:sz w:val="18"/>
                <w:szCs w:val="18"/>
                <w:color w:val="auto"/>
              </w:rPr>
              <w:t>New York, New York 10017</w:t>
            </w:r>
          </w:p>
        </w:tc>
        <w:tc>
          <w:tcPr>
            <w:tcW w:w="426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86"/>
        </w:trPr>
        <w:tc>
          <w:tcPr>
            <w:tcW w:w="1020" w:type="dxa"/>
            <w:vAlign w:val="bottom"/>
            <w:gridSpan w:val="2"/>
          </w:tcPr>
          <w:p>
            <w:pPr>
              <w:spacing w:after="0"/>
              <w:rPr>
                <w:sz w:val="20"/>
                <w:szCs w:val="20"/>
                <w:color w:val="auto"/>
              </w:rPr>
            </w:pPr>
            <w:r>
              <w:rPr>
                <w:rFonts w:ascii="Arial" w:cs="Arial" w:eastAsia="Arial" w:hAnsi="Arial"/>
                <w:sz w:val="18"/>
                <w:szCs w:val="18"/>
                <w:color w:val="auto"/>
              </w:rPr>
              <w:t>Item 2(a).</w:t>
            </w: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rPr>
              <w:t>Name of Person Filing:</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80" w:type="dxa"/>
            <w:vAlign w:val="bottom"/>
            <w:gridSpan w:val="2"/>
          </w:tcPr>
          <w:p>
            <w:pPr>
              <w:ind w:left="940"/>
              <w:spacing w:after="0"/>
              <w:rPr>
                <w:sz w:val="20"/>
                <w:szCs w:val="20"/>
                <w:color w:val="auto"/>
              </w:rPr>
            </w:pPr>
            <w:r>
              <w:rPr>
                <w:rFonts w:ascii="Arial" w:cs="Arial" w:eastAsia="Arial" w:hAnsi="Arial"/>
                <w:sz w:val="18"/>
                <w:szCs w:val="18"/>
                <w:color w:val="auto"/>
              </w:rPr>
              <w:t>Rohit Kapoor (“Mr. Kapoor”)</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1020" w:type="dxa"/>
            <w:vAlign w:val="bottom"/>
            <w:gridSpan w:val="2"/>
          </w:tcPr>
          <w:p>
            <w:pPr>
              <w:spacing w:after="0"/>
              <w:rPr>
                <w:sz w:val="20"/>
                <w:szCs w:val="20"/>
                <w:color w:val="auto"/>
              </w:rPr>
            </w:pPr>
            <w:r>
              <w:rPr>
                <w:rFonts w:ascii="Arial" w:cs="Arial" w:eastAsia="Arial" w:hAnsi="Arial"/>
                <w:sz w:val="18"/>
                <w:szCs w:val="18"/>
                <w:color w:val="auto"/>
              </w:rPr>
              <w:t>Item 2(b).</w:t>
            </w:r>
          </w:p>
        </w:tc>
        <w:tc>
          <w:tcPr>
            <w:tcW w:w="8140" w:type="dxa"/>
            <w:vAlign w:val="bottom"/>
            <w:gridSpan w:val="3"/>
          </w:tcPr>
          <w:p>
            <w:pPr>
              <w:ind w:left="280"/>
              <w:spacing w:after="0"/>
              <w:rPr>
                <w:sz w:val="20"/>
                <w:szCs w:val="20"/>
                <w:color w:val="auto"/>
              </w:rPr>
            </w:pPr>
            <w:r>
              <w:rPr>
                <w:rFonts w:ascii="Arial" w:cs="Arial" w:eastAsia="Arial" w:hAnsi="Arial"/>
                <w:sz w:val="18"/>
                <w:szCs w:val="18"/>
                <w:color w:val="auto"/>
              </w:rPr>
              <w:t>Address of Principal Business Office or, if none, Residence of the Reporting Person:</w:t>
            </w:r>
          </w:p>
        </w:tc>
        <w:tc>
          <w:tcPr>
            <w:tcW w:w="2260" w:type="dxa"/>
            <w:vAlign w:val="bottom"/>
          </w:tcPr>
          <w:p>
            <w:pPr>
              <w:spacing w:after="0"/>
              <w:rPr>
                <w:sz w:val="24"/>
                <w:szCs w:val="24"/>
                <w:color w:val="auto"/>
              </w:rPr>
            </w:pPr>
          </w:p>
        </w:tc>
      </w:tr>
      <w:tr>
        <w:trPr>
          <w:trHeight w:val="472"/>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80" w:type="dxa"/>
            <w:vAlign w:val="bottom"/>
            <w:gridSpan w:val="2"/>
          </w:tcPr>
          <w:p>
            <w:pPr>
              <w:ind w:left="940"/>
              <w:spacing w:after="0"/>
              <w:rPr>
                <w:sz w:val="20"/>
                <w:szCs w:val="20"/>
                <w:color w:val="auto"/>
              </w:rPr>
            </w:pPr>
            <w:r>
              <w:rPr>
                <w:rFonts w:ascii="Arial" w:cs="Arial" w:eastAsia="Arial" w:hAnsi="Arial"/>
                <w:sz w:val="18"/>
                <w:szCs w:val="18"/>
                <w:color w:val="auto"/>
              </w:rPr>
              <w:t>c/o ExlService Holdings, Inc.</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80" w:type="dxa"/>
            <w:vAlign w:val="bottom"/>
            <w:gridSpan w:val="2"/>
          </w:tcPr>
          <w:p>
            <w:pPr>
              <w:ind w:left="940"/>
              <w:spacing w:after="0"/>
              <w:rPr>
                <w:sz w:val="20"/>
                <w:szCs w:val="20"/>
                <w:color w:val="auto"/>
              </w:rPr>
            </w:pPr>
            <w:r>
              <w:rPr>
                <w:rFonts w:ascii="Arial" w:cs="Arial" w:eastAsia="Arial" w:hAnsi="Arial"/>
                <w:sz w:val="18"/>
                <w:szCs w:val="18"/>
                <w:color w:val="auto"/>
              </w:rPr>
              <w:t>280 Park Avenue</w:t>
            </w:r>
          </w:p>
        </w:tc>
        <w:tc>
          <w:tcPr>
            <w:tcW w:w="42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80" w:type="dxa"/>
            <w:vAlign w:val="bottom"/>
            <w:gridSpan w:val="2"/>
          </w:tcPr>
          <w:p>
            <w:pPr>
              <w:ind w:left="940"/>
              <w:spacing w:after="0"/>
              <w:rPr>
                <w:sz w:val="20"/>
                <w:szCs w:val="20"/>
                <w:color w:val="auto"/>
              </w:rPr>
            </w:pPr>
            <w:r>
              <w:rPr>
                <w:rFonts w:ascii="Arial" w:cs="Arial" w:eastAsia="Arial" w:hAnsi="Arial"/>
                <w:sz w:val="18"/>
                <w:szCs w:val="18"/>
                <w:color w:val="auto"/>
              </w:rPr>
              <w:t>New York, New York 10017</w:t>
            </w:r>
          </w:p>
        </w:tc>
        <w:tc>
          <w:tcPr>
            <w:tcW w:w="426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86"/>
        </w:trPr>
        <w:tc>
          <w:tcPr>
            <w:tcW w:w="1020" w:type="dxa"/>
            <w:vAlign w:val="bottom"/>
            <w:gridSpan w:val="2"/>
          </w:tcPr>
          <w:p>
            <w:pPr>
              <w:spacing w:after="0"/>
              <w:rPr>
                <w:sz w:val="20"/>
                <w:szCs w:val="20"/>
                <w:color w:val="auto"/>
              </w:rPr>
            </w:pPr>
            <w:r>
              <w:rPr>
                <w:rFonts w:ascii="Arial" w:cs="Arial" w:eastAsia="Arial" w:hAnsi="Arial"/>
                <w:sz w:val="18"/>
                <w:szCs w:val="18"/>
                <w:color w:val="auto"/>
              </w:rPr>
              <w:t>Item 2(c).</w:t>
            </w: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rPr>
              <w:t>Citizenship:</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80" w:type="dxa"/>
            <w:vAlign w:val="bottom"/>
            <w:gridSpan w:val="2"/>
          </w:tcPr>
          <w:p>
            <w:pPr>
              <w:ind w:left="940"/>
              <w:spacing w:after="0"/>
              <w:rPr>
                <w:sz w:val="20"/>
                <w:szCs w:val="20"/>
                <w:color w:val="auto"/>
              </w:rPr>
            </w:pPr>
            <w:r>
              <w:rPr>
                <w:rFonts w:ascii="Arial" w:cs="Arial" w:eastAsia="Arial" w:hAnsi="Arial"/>
                <w:sz w:val="18"/>
                <w:szCs w:val="18"/>
                <w:color w:val="auto"/>
              </w:rPr>
              <w:t>United States of America</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1020" w:type="dxa"/>
            <w:vAlign w:val="bottom"/>
            <w:gridSpan w:val="2"/>
          </w:tcPr>
          <w:p>
            <w:pPr>
              <w:spacing w:after="0"/>
              <w:rPr>
                <w:sz w:val="20"/>
                <w:szCs w:val="20"/>
                <w:color w:val="auto"/>
              </w:rPr>
            </w:pPr>
            <w:r>
              <w:rPr>
                <w:rFonts w:ascii="Arial" w:cs="Arial" w:eastAsia="Arial" w:hAnsi="Arial"/>
                <w:sz w:val="18"/>
                <w:szCs w:val="18"/>
                <w:color w:val="auto"/>
              </w:rPr>
              <w:t>Item 2(d).</w:t>
            </w: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rPr>
              <w:t>Title of Class of Securities:</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140" w:type="dxa"/>
            <w:vAlign w:val="bottom"/>
            <w:gridSpan w:val="3"/>
          </w:tcPr>
          <w:p>
            <w:pPr>
              <w:ind w:left="940"/>
              <w:spacing w:after="0"/>
              <w:rPr>
                <w:sz w:val="20"/>
                <w:szCs w:val="20"/>
                <w:color w:val="auto"/>
              </w:rPr>
            </w:pPr>
            <w:r>
              <w:rPr>
                <w:rFonts w:ascii="Arial" w:cs="Arial" w:eastAsia="Arial" w:hAnsi="Arial"/>
                <w:sz w:val="18"/>
                <w:szCs w:val="18"/>
                <w:color w:val="auto"/>
              </w:rPr>
              <w:t>Common Stock, par value $0.001 per share (the “Common Stock”)</w:t>
            </w:r>
          </w:p>
        </w:tc>
        <w:tc>
          <w:tcPr>
            <w:tcW w:w="2260" w:type="dxa"/>
            <w:vAlign w:val="bottom"/>
          </w:tcPr>
          <w:p>
            <w:pPr>
              <w:spacing w:after="0"/>
              <w:rPr>
                <w:sz w:val="24"/>
                <w:szCs w:val="24"/>
                <w:color w:val="auto"/>
              </w:rPr>
            </w:pPr>
          </w:p>
        </w:tc>
      </w:tr>
      <w:tr>
        <w:trPr>
          <w:trHeight w:val="486"/>
        </w:trPr>
        <w:tc>
          <w:tcPr>
            <w:tcW w:w="1020" w:type="dxa"/>
            <w:vAlign w:val="bottom"/>
            <w:gridSpan w:val="2"/>
          </w:tcPr>
          <w:p>
            <w:pPr>
              <w:spacing w:after="0"/>
              <w:rPr>
                <w:sz w:val="20"/>
                <w:szCs w:val="20"/>
                <w:color w:val="auto"/>
              </w:rPr>
            </w:pPr>
            <w:r>
              <w:rPr>
                <w:rFonts w:ascii="Arial" w:cs="Arial" w:eastAsia="Arial" w:hAnsi="Arial"/>
                <w:sz w:val="18"/>
                <w:szCs w:val="18"/>
                <w:color w:val="auto"/>
              </w:rPr>
              <w:t>Item 2(e).</w:t>
            </w: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rPr>
              <w:t>CUSIP Number:</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80" w:type="dxa"/>
            <w:vAlign w:val="bottom"/>
            <w:gridSpan w:val="2"/>
          </w:tcPr>
          <w:p>
            <w:pPr>
              <w:ind w:left="940"/>
              <w:spacing w:after="0"/>
              <w:rPr>
                <w:sz w:val="20"/>
                <w:szCs w:val="20"/>
                <w:color w:val="auto"/>
              </w:rPr>
            </w:pPr>
            <w:r>
              <w:rPr>
                <w:rFonts w:ascii="Arial" w:cs="Arial" w:eastAsia="Arial" w:hAnsi="Arial"/>
                <w:sz w:val="18"/>
                <w:szCs w:val="18"/>
                <w:color w:val="auto"/>
              </w:rPr>
              <w:t>302081104</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140" w:type="dxa"/>
            <w:vAlign w:val="bottom"/>
            <w:gridSpan w:val="3"/>
          </w:tcPr>
          <w:p>
            <w:pPr>
              <w:ind w:left="280"/>
              <w:spacing w:after="0"/>
              <w:rPr>
                <w:sz w:val="20"/>
                <w:szCs w:val="20"/>
                <w:color w:val="auto"/>
              </w:rPr>
            </w:pPr>
            <w:r>
              <w:rPr>
                <w:rFonts w:ascii="Arial" w:cs="Arial" w:eastAsia="Arial" w:hAnsi="Arial"/>
                <w:sz w:val="18"/>
                <w:szCs w:val="18"/>
                <w:color w:val="auto"/>
              </w:rPr>
              <w:t>This Schedule 13G Statement is not being filed pursuant to Rule 13d-1(b) or Rule 13d-2(b) or (c).</w:t>
            </w:r>
          </w:p>
        </w:tc>
        <w:tc>
          <w:tcPr>
            <w:tcW w:w="2260" w:type="dxa"/>
            <w:vAlign w:val="bottom"/>
          </w:tcPr>
          <w:p>
            <w:pPr>
              <w:spacing w:after="0"/>
              <w:rPr>
                <w:sz w:val="24"/>
                <w:szCs w:val="24"/>
                <w:color w:val="auto"/>
              </w:rPr>
            </w:pPr>
          </w:p>
        </w:tc>
      </w:tr>
      <w:tr>
        <w:trPr>
          <w:trHeight w:val="486"/>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rPr>
              <w:t>Ownership</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56" w:lineRule="exact"/>
        <w:rPr>
          <w:sz w:val="20"/>
          <w:szCs w:val="20"/>
          <w:color w:val="auto"/>
        </w:rPr>
      </w:pPr>
    </w:p>
    <w:p>
      <w:pPr>
        <w:ind w:left="1960"/>
        <w:spacing w:after="0" w:line="257" w:lineRule="auto"/>
        <w:rPr>
          <w:sz w:val="20"/>
          <w:szCs w:val="20"/>
          <w:color w:val="auto"/>
        </w:rPr>
      </w:pPr>
      <w:r>
        <w:rPr>
          <w:rFonts w:ascii="Arial" w:cs="Arial" w:eastAsia="Arial" w:hAnsi="Arial"/>
          <w:sz w:val="18"/>
          <w:szCs w:val="18"/>
          <w:color w:val="auto"/>
        </w:rPr>
        <w:t>Mr. Kapoor directly beneficially owns 1,558,870 shares of Common Stock, including 609,818 shares of Common Stock of which Mr. Kapoor has the right to acquire beneficial ownership within 60 days of December 31, 2012. In addition, Mr. Kapoor is the sole trustee of the Rohit Kapoor 2005 Grantor Retained Annuity Trust (the “Rohit Kapoor GRAT”), which directly owns 177,134 shares of Common Stock. As such, Mr. Kapoor has sole dispositive and voting power over the 1,736,004 shares of Common Stock held by him directly and held by the Rohit Kapoor GRAT.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4 of 5 Pages</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6"/>
              </w:rPr>
              <w:t>Mr. Kapoor may be deemed to beneficially own 333,185 shares of Common Stock directly owned by the Rohit Kapoor 2012</w:t>
            </w:r>
          </w:p>
        </w:tc>
      </w:tr>
      <w:tr>
        <w:trPr>
          <w:trHeight w:val="216"/>
        </w:trPr>
        <w:tc>
          <w:tcPr>
            <w:tcW w:w="960" w:type="dxa"/>
            <w:vAlign w:val="bottom"/>
          </w:tcPr>
          <w:p>
            <w:pPr>
              <w:spacing w:after="0"/>
              <w:rPr>
                <w:sz w:val="18"/>
                <w:szCs w:val="18"/>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5"/>
              </w:rPr>
              <w:t>Family Trust (the “Rohit Kapoor 2012 Trust”). Mr. Kapoor and Mr. Kapoor’s spouse are co-trustees of the Rohit Kapoor 2012</w:t>
            </w:r>
          </w:p>
        </w:tc>
      </w:tr>
      <w:tr>
        <w:trPr>
          <w:trHeight w:val="216"/>
        </w:trPr>
        <w:tc>
          <w:tcPr>
            <w:tcW w:w="960" w:type="dxa"/>
            <w:vAlign w:val="bottom"/>
          </w:tcPr>
          <w:p>
            <w:pPr>
              <w:spacing w:after="0"/>
              <w:rPr>
                <w:sz w:val="18"/>
                <w:szCs w:val="18"/>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7"/>
              </w:rPr>
              <w:t>Trust and share dispositive and voting power over the 333,185 shares of Common Stock owned by the Rohit Kapoor 2012</w:t>
            </w:r>
          </w:p>
        </w:tc>
      </w:tr>
      <w:tr>
        <w:trPr>
          <w:trHeight w:val="230"/>
        </w:trPr>
        <w:tc>
          <w:tcPr>
            <w:tcW w:w="960" w:type="dxa"/>
            <w:vAlign w:val="bottom"/>
          </w:tcPr>
          <w:p>
            <w:pPr>
              <w:spacing w:after="0"/>
              <w:rPr>
                <w:sz w:val="20"/>
                <w:szCs w:val="20"/>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9"/>
              </w:rPr>
              <w:t>Trust. Mr. Kapoor disclaims beneficial ownership of any shares of Common Stock held by the Rohit Kapoor 2012 Trust.</w:t>
            </w:r>
          </w:p>
        </w:tc>
      </w:tr>
      <w:tr>
        <w:trPr>
          <w:trHeight w:val="418"/>
        </w:trPr>
        <w:tc>
          <w:tcPr>
            <w:tcW w:w="96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7"/>
              </w:rPr>
              <w:t>Mr. Kapoor may be deemed to beneficially own 84,000 shares of Common Stock directly owned by the Rohit Kapoor 2005</w:t>
            </w:r>
          </w:p>
        </w:tc>
      </w:tr>
      <w:tr>
        <w:trPr>
          <w:trHeight w:val="216"/>
        </w:trPr>
        <w:tc>
          <w:tcPr>
            <w:tcW w:w="960" w:type="dxa"/>
            <w:vAlign w:val="bottom"/>
          </w:tcPr>
          <w:p>
            <w:pPr>
              <w:spacing w:after="0"/>
              <w:rPr>
                <w:sz w:val="18"/>
                <w:szCs w:val="18"/>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2"/>
              </w:rPr>
              <w:t>Spousal Lifetime Access Trust (the “Rohit Kapoor SLAT”). Mr. Kapoor’s spouse and Mr. Kapoor’s sister-in-law are co-trustees of</w:t>
            </w:r>
          </w:p>
        </w:tc>
      </w:tr>
      <w:tr>
        <w:trPr>
          <w:trHeight w:val="216"/>
        </w:trPr>
        <w:tc>
          <w:tcPr>
            <w:tcW w:w="960" w:type="dxa"/>
            <w:vAlign w:val="bottom"/>
          </w:tcPr>
          <w:p>
            <w:pPr>
              <w:spacing w:after="0"/>
              <w:rPr>
                <w:sz w:val="18"/>
                <w:szCs w:val="18"/>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4"/>
              </w:rPr>
              <w:t>the Rohit Kapoor SLAT and share dispositive and voting power over the 84,000 shares of Common Stock owned by the Rohit</w:t>
            </w:r>
          </w:p>
        </w:tc>
      </w:tr>
      <w:tr>
        <w:trPr>
          <w:trHeight w:val="230"/>
        </w:trPr>
        <w:tc>
          <w:tcPr>
            <w:tcW w:w="960" w:type="dxa"/>
            <w:vAlign w:val="bottom"/>
          </w:tcPr>
          <w:p>
            <w:pPr>
              <w:spacing w:after="0"/>
              <w:rPr>
                <w:sz w:val="20"/>
                <w:szCs w:val="20"/>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6"/>
              </w:rPr>
              <w:t>Kapoor SLAT. Mr. Kapoor disclaims beneficial ownership of any shares of Common Stock held by the Rohit Kapoor SLAT.</w:t>
            </w:r>
          </w:p>
        </w:tc>
      </w:tr>
      <w:tr>
        <w:trPr>
          <w:trHeight w:val="418"/>
        </w:trPr>
        <w:tc>
          <w:tcPr>
            <w:tcW w:w="96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5"/>
              </w:rPr>
              <w:t>Mr. Kapoor may be deemed to beneficially own 84,000 shares of Common Stock directly owned by the Shikha Kapoor 2005</w:t>
            </w:r>
          </w:p>
        </w:tc>
      </w:tr>
      <w:tr>
        <w:trPr>
          <w:trHeight w:val="216"/>
        </w:trPr>
        <w:tc>
          <w:tcPr>
            <w:tcW w:w="960" w:type="dxa"/>
            <w:vAlign w:val="bottom"/>
          </w:tcPr>
          <w:p>
            <w:pPr>
              <w:spacing w:after="0"/>
              <w:rPr>
                <w:sz w:val="18"/>
                <w:szCs w:val="18"/>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3"/>
              </w:rPr>
              <w:t>Family Trust (the “Shikha Kapoor 2005 Trust”). Mr. Kapoor and Mr. Kapoor’s sister-in-law are co-trustees of the Shikha Kapoor</w:t>
            </w:r>
          </w:p>
        </w:tc>
      </w:tr>
      <w:tr>
        <w:trPr>
          <w:trHeight w:val="216"/>
        </w:trPr>
        <w:tc>
          <w:tcPr>
            <w:tcW w:w="960" w:type="dxa"/>
            <w:vAlign w:val="bottom"/>
          </w:tcPr>
          <w:p>
            <w:pPr>
              <w:spacing w:after="0"/>
              <w:rPr>
                <w:sz w:val="18"/>
                <w:szCs w:val="18"/>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2"/>
              </w:rPr>
              <w:t>2005 Trust and share dispositive and voting power over the 84,000 shares of Common Stock owned by the Shikha Kapoor 2005</w:t>
            </w:r>
          </w:p>
        </w:tc>
      </w:tr>
      <w:tr>
        <w:trPr>
          <w:trHeight w:val="230"/>
        </w:trPr>
        <w:tc>
          <w:tcPr>
            <w:tcW w:w="960" w:type="dxa"/>
            <w:vAlign w:val="bottom"/>
          </w:tcPr>
          <w:p>
            <w:pPr>
              <w:spacing w:after="0"/>
              <w:rPr>
                <w:sz w:val="20"/>
                <w:szCs w:val="20"/>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8"/>
              </w:rPr>
              <w:t>Trust. Mr. Kapoor disclaims beneficial ownership of any shares of Common Stock held by the Shikha Kapoor 2005 Trust.</w:t>
            </w:r>
          </w:p>
        </w:tc>
      </w:tr>
      <w:tr>
        <w:trPr>
          <w:trHeight w:val="418"/>
        </w:trPr>
        <w:tc>
          <w:tcPr>
            <w:tcW w:w="96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5"/>
              </w:rPr>
              <w:t>In aggregate, Mr. Kapoor beneficially owns 2,237,189 shares of Common Stock, which represents approximately 6.8% of the</w:t>
            </w:r>
          </w:p>
        </w:tc>
      </w:tr>
      <w:tr>
        <w:trPr>
          <w:trHeight w:val="230"/>
        </w:trPr>
        <w:tc>
          <w:tcPr>
            <w:tcW w:w="960" w:type="dxa"/>
            <w:vAlign w:val="bottom"/>
          </w:tcPr>
          <w:p>
            <w:pPr>
              <w:spacing w:after="0"/>
              <w:rPr>
                <w:sz w:val="20"/>
                <w:szCs w:val="20"/>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rPr>
              <w:t>issued and outstanding shares of Common Stock.</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10460" w:type="dxa"/>
            <w:vAlign w:val="bottom"/>
          </w:tcPr>
          <w:p>
            <w:pPr>
              <w:ind w:left="340"/>
              <w:spacing w:after="0"/>
              <w:rPr>
                <w:sz w:val="20"/>
                <w:szCs w:val="20"/>
                <w:color w:val="auto"/>
              </w:rPr>
            </w:pPr>
            <w:r>
              <w:rPr>
                <w:rFonts w:ascii="Arial" w:cs="Arial" w:eastAsia="Arial" w:hAnsi="Arial"/>
                <w:sz w:val="18"/>
                <w:szCs w:val="18"/>
                <w:color w:val="auto"/>
              </w:rPr>
              <w:t>Ownership of Five Percent or Less of a Class</w:t>
            </w:r>
          </w:p>
        </w:tc>
      </w:tr>
      <w:tr>
        <w:trPr>
          <w:trHeight w:val="486"/>
        </w:trPr>
        <w:tc>
          <w:tcPr>
            <w:tcW w:w="96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rPr>
              <w:t>Not Applicable</w:t>
            </w:r>
          </w:p>
        </w:tc>
      </w:tr>
      <w:tr>
        <w:trPr>
          <w:trHeight w:val="486"/>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10460" w:type="dxa"/>
            <w:vAlign w:val="bottom"/>
          </w:tcPr>
          <w:p>
            <w:pPr>
              <w:ind w:left="340"/>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486"/>
        </w:trPr>
        <w:tc>
          <w:tcPr>
            <w:tcW w:w="96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rPr>
              <w:t>Not Applicable</w:t>
            </w:r>
          </w:p>
        </w:tc>
      </w:tr>
      <w:tr>
        <w:trPr>
          <w:trHeight w:val="472"/>
        </w:trPr>
        <w:tc>
          <w:tcPr>
            <w:tcW w:w="960" w:type="dxa"/>
            <w:vAlign w:val="bottom"/>
          </w:tcPr>
          <w:p>
            <w:pPr>
              <w:spacing w:after="0"/>
              <w:rPr>
                <w:sz w:val="20"/>
                <w:szCs w:val="20"/>
                <w:color w:val="auto"/>
              </w:rPr>
            </w:pPr>
            <w:r>
              <w:rPr>
                <w:rFonts w:ascii="Arial" w:cs="Arial" w:eastAsia="Arial" w:hAnsi="Arial"/>
                <w:sz w:val="18"/>
                <w:szCs w:val="18"/>
                <w:color w:val="auto"/>
              </w:rPr>
              <w:t>Item 7.</w:t>
            </w:r>
          </w:p>
        </w:tc>
        <w:tc>
          <w:tcPr>
            <w:tcW w:w="10460" w:type="dxa"/>
            <w:vAlign w:val="bottom"/>
          </w:tcPr>
          <w:p>
            <w:pPr>
              <w:ind w:left="340"/>
              <w:spacing w:after="0"/>
              <w:rPr>
                <w:sz w:val="20"/>
                <w:szCs w:val="20"/>
                <w:color w:val="auto"/>
              </w:rPr>
            </w:pPr>
            <w:r>
              <w:rPr>
                <w:rFonts w:ascii="Arial" w:cs="Arial" w:eastAsia="Arial" w:hAnsi="Arial"/>
                <w:sz w:val="18"/>
                <w:szCs w:val="18"/>
                <w:color w:val="auto"/>
                <w:w w:val="95"/>
              </w:rPr>
              <w:t>Identification and Classification of the Subsidiary Which Acquired the Security Being Reported on By the Parent Holding Company or</w:t>
            </w:r>
          </w:p>
        </w:tc>
      </w:tr>
      <w:tr>
        <w:trPr>
          <w:trHeight w:val="230"/>
        </w:trPr>
        <w:tc>
          <w:tcPr>
            <w:tcW w:w="96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Control Person</w:t>
            </w:r>
          </w:p>
        </w:tc>
      </w:tr>
      <w:tr>
        <w:trPr>
          <w:trHeight w:val="486"/>
        </w:trPr>
        <w:tc>
          <w:tcPr>
            <w:tcW w:w="96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rPr>
              <w:t>Not Applicable</w:t>
            </w:r>
          </w:p>
        </w:tc>
      </w:tr>
      <w:tr>
        <w:trPr>
          <w:trHeight w:val="486"/>
        </w:trPr>
        <w:tc>
          <w:tcPr>
            <w:tcW w:w="960" w:type="dxa"/>
            <w:vAlign w:val="bottom"/>
          </w:tcPr>
          <w:p>
            <w:pPr>
              <w:spacing w:after="0"/>
              <w:rPr>
                <w:sz w:val="20"/>
                <w:szCs w:val="20"/>
                <w:color w:val="auto"/>
              </w:rPr>
            </w:pPr>
            <w:r>
              <w:rPr>
                <w:rFonts w:ascii="Arial" w:cs="Arial" w:eastAsia="Arial" w:hAnsi="Arial"/>
                <w:sz w:val="18"/>
                <w:szCs w:val="18"/>
                <w:color w:val="auto"/>
              </w:rPr>
              <w:t>Item 8.</w:t>
            </w:r>
          </w:p>
        </w:tc>
        <w:tc>
          <w:tcPr>
            <w:tcW w:w="10460" w:type="dxa"/>
            <w:vAlign w:val="bottom"/>
          </w:tcPr>
          <w:p>
            <w:pPr>
              <w:ind w:left="34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486"/>
        </w:trPr>
        <w:tc>
          <w:tcPr>
            <w:tcW w:w="96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rPr>
              <w:t>Not Applicable</w:t>
            </w:r>
          </w:p>
        </w:tc>
      </w:tr>
      <w:tr>
        <w:trPr>
          <w:trHeight w:val="486"/>
        </w:trPr>
        <w:tc>
          <w:tcPr>
            <w:tcW w:w="960" w:type="dxa"/>
            <w:vAlign w:val="bottom"/>
          </w:tcPr>
          <w:p>
            <w:pPr>
              <w:spacing w:after="0"/>
              <w:rPr>
                <w:sz w:val="20"/>
                <w:szCs w:val="20"/>
                <w:color w:val="auto"/>
              </w:rPr>
            </w:pPr>
            <w:r>
              <w:rPr>
                <w:rFonts w:ascii="Arial" w:cs="Arial" w:eastAsia="Arial" w:hAnsi="Arial"/>
                <w:sz w:val="18"/>
                <w:szCs w:val="18"/>
                <w:color w:val="auto"/>
              </w:rPr>
              <w:t>Item 9.</w:t>
            </w:r>
          </w:p>
        </w:tc>
        <w:tc>
          <w:tcPr>
            <w:tcW w:w="10460" w:type="dxa"/>
            <w:vAlign w:val="bottom"/>
          </w:tcPr>
          <w:p>
            <w:pPr>
              <w:ind w:left="340"/>
              <w:spacing w:after="0"/>
              <w:rPr>
                <w:sz w:val="20"/>
                <w:szCs w:val="20"/>
                <w:color w:val="auto"/>
              </w:rPr>
            </w:pPr>
            <w:r>
              <w:rPr>
                <w:rFonts w:ascii="Arial" w:cs="Arial" w:eastAsia="Arial" w:hAnsi="Arial"/>
                <w:sz w:val="18"/>
                <w:szCs w:val="18"/>
                <w:color w:val="auto"/>
              </w:rPr>
              <w:t>Notice of Dissolution of Group</w:t>
            </w:r>
          </w:p>
        </w:tc>
      </w:tr>
      <w:tr>
        <w:trPr>
          <w:trHeight w:val="486"/>
        </w:trPr>
        <w:tc>
          <w:tcPr>
            <w:tcW w:w="96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rPr>
              <w:t>Not Applicable</w:t>
            </w:r>
          </w:p>
        </w:tc>
      </w:tr>
      <w:tr>
        <w:trPr>
          <w:trHeight w:val="486"/>
        </w:trPr>
        <w:tc>
          <w:tcPr>
            <w:tcW w:w="960" w:type="dxa"/>
            <w:vAlign w:val="bottom"/>
          </w:tcPr>
          <w:p>
            <w:pPr>
              <w:spacing w:after="0"/>
              <w:rPr>
                <w:sz w:val="20"/>
                <w:szCs w:val="20"/>
                <w:color w:val="auto"/>
              </w:rPr>
            </w:pPr>
            <w:r>
              <w:rPr>
                <w:rFonts w:ascii="Arial" w:cs="Arial" w:eastAsia="Arial" w:hAnsi="Arial"/>
                <w:sz w:val="18"/>
                <w:szCs w:val="18"/>
                <w:color w:val="auto"/>
              </w:rPr>
              <w:t>Item 10.</w:t>
            </w:r>
          </w:p>
        </w:tc>
        <w:tc>
          <w:tcPr>
            <w:tcW w:w="10460" w:type="dxa"/>
            <w:vAlign w:val="bottom"/>
          </w:tcPr>
          <w:p>
            <w:pPr>
              <w:ind w:left="340"/>
              <w:spacing w:after="0"/>
              <w:rPr>
                <w:sz w:val="20"/>
                <w:szCs w:val="20"/>
                <w:color w:val="auto"/>
              </w:rPr>
            </w:pPr>
            <w:r>
              <w:rPr>
                <w:rFonts w:ascii="Arial" w:cs="Arial" w:eastAsia="Arial" w:hAnsi="Arial"/>
                <w:sz w:val="18"/>
                <w:szCs w:val="18"/>
                <w:color w:val="auto"/>
              </w:rPr>
              <w:t>Certifications</w:t>
            </w:r>
          </w:p>
        </w:tc>
      </w:tr>
      <w:tr>
        <w:trPr>
          <w:trHeight w:val="486"/>
        </w:trPr>
        <w:tc>
          <w:tcPr>
            <w:tcW w:w="96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rPr>
              <w:t>Not Applicable</w:t>
            </w:r>
          </w:p>
        </w:tc>
      </w:tr>
      <w:tr>
        <w:trPr>
          <w:trHeight w:val="1226"/>
        </w:trPr>
        <w:tc>
          <w:tcPr>
            <w:tcW w:w="960" w:type="dxa"/>
            <w:vAlign w:val="bottom"/>
            <w:tcBorders>
              <w:bottom w:val="single" w:sz="8" w:color="808080"/>
            </w:tcBorders>
          </w:tcPr>
          <w:p>
            <w:pPr>
              <w:spacing w:after="0"/>
              <w:rPr>
                <w:sz w:val="24"/>
                <w:szCs w:val="24"/>
                <w:color w:val="auto"/>
              </w:rPr>
            </w:pPr>
          </w:p>
        </w:tc>
        <w:tc>
          <w:tcPr>
            <w:tcW w:w="10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5 of 5 Pages</w:t>
            </w: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2013</w:t>
      </w:r>
    </w:p>
    <w:p>
      <w:pPr>
        <w:spacing w:after="0" w:line="27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1864995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o"/>
      <w:numFmt w:val="bullet"/>
      <w:start w:val="1"/>
    </w:lvl>
  </w:abstractNum>
  <w:abstractNum w:abstractNumId="1">
    <w:nsid w:val="66334873"/>
    <w:multiLevelType w:val="hybridMultilevel"/>
    <w:lvl w:ilvl="0">
      <w:lvlJc w:val="left"/>
      <w:lvlText w:val="4"/>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2019-12-07T08:20:12Z</dcterms:created>
  <dcterms:modified xsi:type="dcterms:W3CDTF">2019-12-07T08:20:12Z</dcterms:modified>
</cp:coreProperties>
</file>