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61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13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81"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EVP and Head of Analytics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4,400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332,257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2,434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30.34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329,823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5,050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334,873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2,793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30.97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332,080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02/15/2024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4,400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02/15/2033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13,200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5,050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02/16/2024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02/16/2032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10,100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3,520 (pre-split) restricted stock units, vesting in four annual installments beginning on the first anniversary of the grant date. 25 percent of the restricted stock units became vested on February 15, 2024, an additional twenty-five percent of the restricted stock units will vest on February 15, 2025, an additional twenty-five percent of the restricted stock units will vest on February 15, 2026; and the remaining balance of twenty-five percent of the restricted stock units will vest on February 15, 2027</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4,040 (pre-split) restricted stock units, vesting in four annual installments beginning on the first anniversary of the grant date. 25 percent of the restricted stock units became vested on February 16, 2023, an additional twenty-five percent of the restricted stock units became vested on February 16, 2024, an additional twenty-five percent of the restricted stock units will vest on February 16, 2025; and the remaining balance of twenty-five percent of the restricted stock units will vest on February 16,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2024-02-20T17:14:59Z</dcterms:created>
  <dcterms:modified xsi:type="dcterms:W3CDTF">2024-02-20T17:14:59Z</dcterms:modified>
</cp:coreProperties>
</file>