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474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4744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Rohit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04/27/2017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CEO &amp; Vice Chairman</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300" w:type="dxa"/>
            <w:vAlign w:val="bottom"/>
            <w:shd w:val="clear" w:color="auto" w:fill="9A9A9A"/>
          </w:tcPr>
          <w:p>
            <w:pPr>
              <w:spacing w:after="0"/>
              <w:rPr>
                <w:sz w:val="2"/>
                <w:szCs w:val="2"/>
                <w:color w:val="auto"/>
              </w:rPr>
            </w:pPr>
          </w:p>
        </w:tc>
        <w:tc>
          <w:tcPr>
            <w:tcW w:w="100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700" w:type="dxa"/>
            <w:vAlign w:val="bottom"/>
            <w:tcBorders>
              <w:right w:val="single" w:sz="8" w:color="9A9A9A"/>
            </w:tcBorders>
            <w:shd w:val="clear" w:color="auto" w:fill="9A9A9A"/>
          </w:tcPr>
          <w:p>
            <w:pPr>
              <w:spacing w:after="0"/>
              <w:rPr>
                <w:sz w:val="2"/>
                <w:szCs w:val="2"/>
                <w:color w:val="auto"/>
              </w:rPr>
            </w:pPr>
          </w:p>
        </w:tc>
        <w:tc>
          <w:tcPr>
            <w:tcW w:w="3660" w:type="dxa"/>
            <w:vAlign w:val="bottom"/>
            <w:gridSpan w:val="6"/>
            <w:vMerge w:val="restart"/>
          </w:tcPr>
          <w:p>
            <w:pPr>
              <w:ind w:left="160"/>
              <w:spacing w:after="0"/>
              <w:rPr>
                <w:sz w:val="20"/>
                <w:szCs w:val="20"/>
                <w:color w:val="auto"/>
              </w:rPr>
            </w:pPr>
            <w:r>
              <w:rPr>
                <w:rFonts w:ascii="Arial" w:cs="Arial" w:eastAsia="Arial" w:hAnsi="Arial"/>
                <w:sz w:val="14"/>
                <w:szCs w:val="14"/>
                <w:color w:val="auto"/>
                <w:w w:val="97"/>
              </w:rPr>
              <w:t>4. If Amendment, Date of Original Filed (Month/Day/Year)</w:t>
            </w:r>
          </w:p>
        </w:tc>
        <w:tc>
          <w:tcPr>
            <w:tcW w:w="3840" w:type="dxa"/>
            <w:vAlign w:val="bottom"/>
            <w:gridSpan w:val="8"/>
            <w:vMerge w:val="restart"/>
          </w:tcPr>
          <w:p>
            <w:pPr>
              <w:ind w:left="4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60" w:type="dxa"/>
            <w:vAlign w:val="bottom"/>
            <w:gridSpan w:val="6"/>
            <w:vMerge w:val="continue"/>
          </w:tcPr>
          <w:p>
            <w:pPr>
              <w:spacing w:after="0"/>
              <w:rPr>
                <w:sz w:val="11"/>
                <w:szCs w:val="11"/>
                <w:color w:val="auto"/>
              </w:rPr>
            </w:pPr>
          </w:p>
        </w:tc>
        <w:tc>
          <w:tcPr>
            <w:tcW w:w="38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gridSpan w:val="3"/>
          </w:tcPr>
          <w:p>
            <w:pPr>
              <w:ind w:left="480"/>
              <w:spacing w:after="0" w:line="155" w:lineRule="exact"/>
              <w:rPr>
                <w:sz w:val="20"/>
                <w:szCs w:val="20"/>
                <w:color w:val="auto"/>
              </w:rPr>
            </w:pPr>
            <w:r>
              <w:rPr>
                <w:rFonts w:ascii="Arial" w:cs="Arial" w:eastAsia="Arial" w:hAnsi="Arial"/>
                <w:sz w:val="14"/>
                <w:szCs w:val="14"/>
                <w:color w:val="auto"/>
                <w:w w:val="96"/>
              </w:rPr>
              <w:t>Line)</w:t>
            </w: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21"/>
                <w:szCs w:val="21"/>
                <w:color w:val="auto"/>
              </w:rPr>
            </w:pPr>
          </w:p>
        </w:tc>
        <w:tc>
          <w:tcPr>
            <w:tcW w:w="560" w:type="dxa"/>
            <w:vAlign w:val="bottom"/>
          </w:tcPr>
          <w:p>
            <w:pPr>
              <w:spacing w:after="0"/>
              <w:rPr>
                <w:sz w:val="20"/>
                <w:szCs w:val="20"/>
                <w:color w:val="auto"/>
              </w:rPr>
            </w:pPr>
            <w:r>
              <w:rPr>
                <w:rFonts w:ascii="Arial" w:cs="Arial" w:eastAsia="Arial" w:hAnsi="Arial"/>
                <w:sz w:val="18"/>
                <w:szCs w:val="18"/>
                <w:color w:val="0000FF"/>
              </w:rPr>
              <w:t>10017</w:t>
            </w:r>
          </w:p>
        </w:tc>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40" w:type="dxa"/>
            <w:vAlign w:val="bottom"/>
            <w:gridSpan w:val="5"/>
            <w:vMerge w:val="restart"/>
          </w:tcPr>
          <w:p>
            <w:pPr>
              <w:ind w:left="2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100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700" w:type="dxa"/>
            <w:vAlign w:val="bottom"/>
            <w:tcBorders>
              <w:top w:val="single" w:sz="8" w:color="EEEEEE"/>
            </w:tcBorders>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4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5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ind w:left="24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3"/>
          </w:tcPr>
          <w:p>
            <w:pPr>
              <w:spacing w:after="0"/>
              <w:rPr>
                <w:sz w:val="11"/>
                <w:szCs w:val="11"/>
                <w:color w:val="auto"/>
              </w:rPr>
            </w:pPr>
          </w:p>
        </w:tc>
        <w:tc>
          <w:tcPr>
            <w:tcW w:w="4240" w:type="dxa"/>
            <w:vAlign w:val="bottom"/>
            <w:tcBorders>
              <w:bottom w:val="single" w:sz="8" w:color="2C2C2C"/>
            </w:tcBorders>
            <w:gridSpan w:val="7"/>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960" w:type="dxa"/>
            <w:vAlign w:val="bottom"/>
            <w:tcBorders>
              <w:top w:val="single" w:sz="8" w:color="2C2C2C"/>
            </w:tcBorders>
            <w:gridSpan w:val="14"/>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60" w:type="dxa"/>
            <w:vAlign w:val="bottom"/>
          </w:tcPr>
          <w:p>
            <w:pPr>
              <w:spacing w:after="0"/>
              <w:rPr>
                <w:sz w:val="15"/>
                <w:szCs w:val="15"/>
                <w:color w:val="auto"/>
              </w:rPr>
            </w:pPr>
          </w:p>
        </w:tc>
        <w:tc>
          <w:tcPr>
            <w:tcW w:w="124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gridSpan w:val="6"/>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0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240" w:type="dxa"/>
            <w:vAlign w:val="bottom"/>
            <w:tcBorders>
              <w:bottom w:val="single" w:sz="8" w:color="2C2C2C"/>
            </w:tcBorders>
            <w:gridSpan w:val="2"/>
          </w:tcPr>
          <w:p>
            <w:pPr>
              <w:jc w:val="right"/>
              <w:ind w:right="158"/>
              <w:spacing w:after="0"/>
              <w:rPr>
                <w:sz w:val="20"/>
                <w:szCs w:val="20"/>
                <w:color w:val="auto"/>
              </w:rPr>
            </w:pPr>
            <w:r>
              <w:rPr>
                <w:rFonts w:ascii="Arial" w:cs="Arial" w:eastAsia="Arial" w:hAnsi="Arial"/>
                <w:sz w:val="18"/>
                <w:szCs w:val="18"/>
                <w:color w:val="0000FF"/>
              </w:rPr>
              <w:t>04/27/2017</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94"/>
              </w:rPr>
              <w:t>29,520</w:t>
            </w:r>
          </w:p>
        </w:tc>
        <w:tc>
          <w:tcPr>
            <w:tcW w:w="50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gridSpan w:val="3"/>
          </w:tcPr>
          <w:p>
            <w:pPr>
              <w:ind w:left="20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48.1</w:t>
            </w:r>
            <w:r>
              <w:rPr>
                <w:rFonts w:ascii="Arial" w:cs="Arial" w:eastAsia="Arial" w:hAnsi="Arial"/>
                <w:sz w:val="22"/>
                <w:szCs w:val="22"/>
                <w:color w:val="008000"/>
                <w:w w:val="92"/>
                <w:vertAlign w:val="superscript"/>
              </w:rPr>
              <w:t>(2)</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9"/>
              </w:rPr>
              <w:t>224,136</w:t>
            </w:r>
          </w:p>
        </w:tc>
        <w:tc>
          <w:tcPr>
            <w:tcW w:w="940" w:type="dxa"/>
            <w:vAlign w:val="bottom"/>
            <w:tcBorders>
              <w:bottom w:val="single" w:sz="8" w:color="2C2C2C"/>
            </w:tcBorders>
          </w:tcPr>
          <w:p>
            <w:pPr>
              <w:ind w:left="28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w:t>
            </w:r>
          </w:p>
        </w:tc>
        <w:tc>
          <w:tcPr>
            <w:tcW w:w="8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90"/>
              </w:rPr>
              <w:t>40,219</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gridSpan w:val="6"/>
            <w:vMerge w:val="continue"/>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(4)</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9"/>
              </w:rPr>
              <w:t>333,185</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gridSpan w:val="6"/>
            <w:vMerge w:val="continue"/>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(5)</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9"/>
              </w:rPr>
              <w:t>177,134</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gridSpan w:val="6"/>
            <w:vMerge w:val="continue"/>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(6)</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90"/>
              </w:rPr>
              <w:t>84,000</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gridSpan w:val="6"/>
            <w:vMerge w:val="continue"/>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(7)</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90"/>
              </w:rPr>
              <w:t>84,000</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gridSpan w:val="6"/>
            <w:vMerge w:val="continue"/>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8"/>
                <w:szCs w:val="18"/>
                <w:color w:val="0000FF"/>
                <w:w w:val="92"/>
              </w:rPr>
              <w:t>Footnote</w:t>
            </w:r>
            <w:r>
              <w:rPr>
                <w:rFonts w:ascii="Arial" w:cs="Arial" w:eastAsia="Arial" w:hAnsi="Arial"/>
                <w:sz w:val="22"/>
                <w:szCs w:val="22"/>
                <w:color w:val="008000"/>
                <w:w w:val="92"/>
                <w:vertAlign w:val="superscript"/>
              </w:rPr>
              <w:t>(8)</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3"/>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980" w:type="dxa"/>
            <w:vAlign w:val="bottom"/>
            <w:gridSpan w:val="9"/>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$47.90 to $48.61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2016 Kapoor Family Trust Created Under the Rohit Kapoor 2013 GRAT.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2016 Family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2016 Kapoor Family Trust Created Under the Rohit Kapoor 2005 GRAT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Spousal Lifetime Access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Shikha Kapoor 2005 Family Trust.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05/01/2017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2019-12-04T00:57:36Z</dcterms:created>
  <dcterms:modified xsi:type="dcterms:W3CDTF">2019-12-04T00:57:36Z</dcterms:modified>
</cp:coreProperties>
</file>