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Sections 13 or 15(d) of</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68"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July 30, 2013, ExlService Holdings, Inc. (the “Company”) reported its results of operations for the three months ended June 30, 2013. A copy of the press release issued by the Company concerning the foregoing is furnished herewith as Exhibit 99.1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30, 2013</w:t>
      </w: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8040" w:val="left"/>
        </w:tabs>
        <w:rPr>
          <w:sz w:val="20"/>
          <w:szCs w:val="20"/>
          <w:color w:val="auto"/>
        </w:rPr>
      </w:pPr>
      <w:r>
        <w:rPr>
          <w:rFonts w:ascii="Arial" w:cs="Arial" w:eastAsia="Arial" w:hAnsi="Arial"/>
          <w:sz w:val="18"/>
          <w:szCs w:val="18"/>
          <w:color w:val="auto"/>
        </w:rPr>
        <w:t>Date: July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30, 2013</w:t>
      </w: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274" w:right="5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2013 SECOND QUARTER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Revenues of $116.0 Million, Up 7% Year over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Earnings Per Share (EPS) of $0.37</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New York, NY – July 30, 2013 – ExlService Holdings, Inc. (NASDAQ: EXLS), a leading provider of outsourcing and transformation services, today announced its financial results for the second quarter of 2013.</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Rohit Kapoor, Vice Chairman and CEO, commented: “As expected, our second quarter revenues were flat sequentially, despite a currency headwind and project-based spending in transformation services not picking up as much as we had expected. On a constant currency basis, our reported revenues would have been higher by $1 million.</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last quarterly earnings release, the Indian rupee has depreciated 10% versus the US dollar, impacting the portion of our revenues where clients bear foreign exchange risk. Separately, delays in project-based spending and slower business ramp-ups will impact our revenue and adjusted diluted earnings per share growth this year versus our prior projections.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seeing continued strength in demand for our domain-focused services in insurance and healthcare. We are pleased to see that our pipeline has grown and deepened particularly in finance and accounting, with an increase in both the number and average size of deals.”</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Vishal Chhibbar, CFO, commented: “In the second quarter, EXL generated revenues of $116.0 million, up 7% year over year, driven by 10% growth in outsourcing. Excluding previously announced client transitions, constant currency revenues grew 11% year over year and 1% sequentially. Second quarter adjusted diluted earnings per share were $0.37, up 3% year over year, as revenue growth was offset by annual wage increments and a significant expansion of our analytics team. These investments are key to sustainable long-term growth in our targeted verticals.</w:t>
      </w:r>
    </w:p>
    <w:p>
      <w:pPr>
        <w:spacing w:after="0" w:line="11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2013, we are revising our guidance for revenues to $475 million to $483 million, due to a $6 million impact of foreign exchange and softer forecast growth in the second half of the year. We are revising our adjusted diluted EPS guidance to $1.71 to $1.79, representing year over year growth of 8% to 13%. We expect revenue growth in the second half of the year, driven by expected broad-based volume increases across our businesses.”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Second Quarter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right="6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2013 were $116.0 million compared to $108.0 million for the quarter ended June 30, 2012 and $116.0 million for the quarter ended March 31, 2013. Outsourcing services revenues for the quarter ended June 30, 2013 were $97.3 million compared to $88.9 million for the quarter ended June 30, 2012 and $97.6 million for the quarter ended March 31, 2013. Transformation services revenues for the quarter ended June 31, 2013 were $18.7 million compared to $19.1 million for the quarter ended June 30, 2012 and $18.4 million for the quarter ended March 31, 2013.</w:t>
      </w:r>
    </w:p>
    <w:p>
      <w:pPr>
        <w:spacing w:after="0" w:line="61"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June 30, 2013 was 36.3% compared to 38.9% for the quarter ended June 30, 2012 and 37.1% for the quarter ended March 31, 2013. Outsourcing services gross margin for the quarter ended June 30, 2013 was 38.9% compared to 38.7% for the quarter ended June 30, 2012 and 39.0% for the quarter ended March 31, 2013. Transformation services gross margin for the quarter ended June 30, 2013 was 22.7% compared to 39.6% for the quarter ended June 30, 2012 and 27.1% for the quarter ended March 31, 2013.</w:t>
      </w:r>
    </w:p>
    <w:p>
      <w:pPr>
        <w:spacing w:after="0" w:line="31"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June 30, 2013 was 11.1% compared to 13.3% for the quarter ended June 30, 2012 and 10.4% for the quarter ended March 31, 2013. Adjusted operating margin for the quarter ended June 30, 2013 was 14.9% compared to 17.1% for the quarter ended June 30, 2012 and 15.0% for the quarter ended March 31, 2013.</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June 30, 2013 was $9.2 million compared to $9.1 million for the quarter ended June 30, 2012 and $9.8 million for the quarter ended March 31, 2013. Adjusted EBITDA for the quarter ended June 30, 2013 was $22.0 million compared to $23.1 million for the quarter ended June 30, 2012 and $22.3 million for the quarter ended March 31, 2013.</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2013 were $0.27 compared to $0.27 for the quarter ended June 30, 2012 and $0.29 for the quarter ended March 31, 2013. Adjusted diluted earnings per share for the quarter ended June 30, 2013 were $0.37 compared to $0.36 for the quarter ended June 30, 2012 and $0.40 for the quarter ended March 31,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9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four new clients during the quarter, including three transformation clients and one outsourcing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Selected by a leading Blue Cross Blue Shield health insurance provider to implement EXL Landa’s CareRadius care management platform.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54 new processes in the second quarter of 2013.</w:t>
      </w:r>
    </w:p>
    <w:p>
      <w:pPr>
        <w:spacing w:after="0" w:line="90"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Awarded “Supplier of the Year for Value Creation” from Genworth Financial, Inc. for management of the company’s variable annuity business, including transitioning all variable annuity servicing during 2012 within committed timelines and with no service impact.</w:t>
      </w:r>
    </w:p>
    <w:p>
      <w:pPr>
        <w:spacing w:after="0" w:line="4" w:lineRule="exact"/>
        <w:rPr>
          <w:rFonts w:ascii="Arial" w:cs="Arial" w:eastAsia="Arial" w:hAnsi="Arial"/>
          <w:sz w:val="16"/>
          <w:szCs w:val="16"/>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by the Life Office Management Association (LOMA) with the 2013 LOMA Excellence in Education Award for developing highly skilled insurance professionals.</w:t>
      </w:r>
    </w:p>
    <w:p>
      <w:pPr>
        <w:spacing w:after="0" w:line="5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Finished second (out of over 1,500 participants) in the Heritage Health Prize, a global predictive modeling competition designed to develop analytics-based solutions to decrease the number of avoidable hospital visits in the United States.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Positioned in the “Leaders” quadrant by research firm Gartner, Inc. in their report, “Magic Quadrant for North American Life Insurance Policy Administration Systems,” June 2013 (evaluating EXL’s LifePRO insurance policy administration platform).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a “High Performer” by research firm Horses for Sources (HfS) in “HfS Blueprint Axis: Healthcare Payer BPO,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strategic partnership with GT Nexus, Inc. to provide comprehensive services to the global supply chain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headcount as of June 30, 2013 to 21,556, compared to 19,468 as of June 30, 2012 and 21,356 as of March 31, 2013.</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attrition for the quarter ended June 30, 2013 of 26.8%, compared with 28.4% for the quarter ended June 30, 2012 and 23.6% for the quarter ended March 31, 2013.</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Outlook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assuming a second half of 2013 exchange rate of 59 Indian rupees to the US dollar, we are revising our annual guidance to:</w:t>
      </w:r>
    </w:p>
    <w:p>
      <w:pPr>
        <w:spacing w:after="0" w:line="11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$475 million to $483 million.</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$1.71 to $1.79.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ExlService Holdings, Inc. will host a conference call on Tuesday, July 30, 2013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auto"/>
        </w:rPr>
        <w:t>ir.exlservice.com</w:t>
      </w:r>
      <w:r>
        <w:rPr>
          <w:rFonts w:ascii="Arial" w:cs="Arial" w:eastAsia="Arial" w:hAnsi="Arial"/>
          <w:sz w:val="18"/>
          <w:szCs w:val="18"/>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2012.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 w:name="page6"/>
    <w:bookmarkEnd w:id="5"/>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41,985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27,592</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14,393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12,680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Diluted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32,778,800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31,970,881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32,650,852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31,708,237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33,899,097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33,096,607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33,810,156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32,940,231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40" w:type="dxa"/>
            <w:vAlign w:val="bottom"/>
          </w:tcPr>
          <w:p>
            <w:pPr>
              <w:jc w:val="right"/>
              <w:ind w:right="4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(Recasted)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114,569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76,214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217,070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35,656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108,730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436,324</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65,257</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91,337</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15)</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33,066,381 shares issued and 32,717,101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outstanding as of June 30, 2013 and 32,540,082 shares issued and 32,203,820 shares outstanding as of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204,209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207,880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(55,774)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356,348</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Less: 349,280 shares as of June 30, 2013 and 336,262 shares as of December 31, 2012, held in treasury, at cost</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352,935</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352,962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436,324</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the Company’s ability to generate cash flow.</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June 30, 2013 and June 30, 2012 and for the three months ended March 31, 2013:</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income/(expense)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(GAAP)</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12,827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14,393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17,283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18,473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w w:val="90"/>
              </w:rPr>
              <w:t>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w w:val="90"/>
              </w:rPr>
              <w:t>17.1%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22,049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23,148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w w:val="90"/>
              </w:rPr>
              <w:t>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w w:val="90"/>
              </w:rPr>
              <w:t>21.4%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6"/>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6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9,762</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3,645</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(1,093)</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(1,075)</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12,416</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11,870</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13,454</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0.36</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0.40</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2019-12-07T07:59:28Z</dcterms:created>
  <dcterms:modified xsi:type="dcterms:W3CDTF">2019-12-07T07:59:28Z</dcterms:modified>
</cp:coreProperties>
</file>