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594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59447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Shashank Amit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EXLSERVICE HOLDINGS,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04/24/2011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03"/>
        <w:spacing w:after="0"/>
        <w:rPr>
          <w:sz w:val="20"/>
          <w:szCs w:val="20"/>
          <w:color w:val="auto"/>
        </w:rPr>
      </w:pPr>
      <w:r>
        <w:rPr>
          <w:rFonts w:ascii="Arial" w:cs="Arial" w:eastAsia="Arial" w:hAnsi="Arial"/>
          <w:sz w:val="16"/>
          <w:szCs w:val="16"/>
          <w:color w:val="0000FF"/>
        </w:rPr>
        <w:t>VP &amp; Gen. Counsel/Corp. Sec'y</w:t>
      </w:r>
    </w:p>
    <w:p>
      <w:pPr>
        <w:spacing w:after="0" w:line="429"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760" w:type="dxa"/>
            <w:vAlign w:val="bottom"/>
            <w:gridSpan w:val="6"/>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840" w:type="dxa"/>
            <w:vAlign w:val="bottom"/>
            <w:gridSpan w:val="11"/>
          </w:tcPr>
          <w:p>
            <w:pPr>
              <w:ind w:left="38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gridSpan w:val="3"/>
          </w:tcPr>
          <w:p>
            <w:pPr>
              <w:ind w:left="38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60" w:type="dxa"/>
            <w:vAlign w:val="bottom"/>
            <w:gridSpan w:val="10"/>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NY</w:t>
            </w:r>
          </w:p>
        </w:tc>
        <w:tc>
          <w:tcPr>
            <w:tcW w:w="580" w:type="dxa"/>
            <w:vAlign w:val="bottom"/>
            <w:vMerge w:val="restart"/>
          </w:tcPr>
          <w:p>
            <w:pPr>
              <w:ind w:left="20"/>
              <w:spacing w:after="0"/>
              <w:rPr>
                <w:sz w:val="20"/>
                <w:szCs w:val="20"/>
                <w:color w:val="auto"/>
              </w:rPr>
            </w:pPr>
            <w:r>
              <w:rPr>
                <w:rFonts w:ascii="Arial" w:cs="Arial" w:eastAsia="Arial" w:hAnsi="Arial"/>
                <w:sz w:val="18"/>
                <w:szCs w:val="18"/>
                <w:color w:val="0000FF"/>
              </w:rPr>
              <w:t>10017</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40" w:type="dxa"/>
            <w:vAlign w:val="bottom"/>
            <w:gridSpan w:val="8"/>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58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4"/>
          </w:tcPr>
          <w:p>
            <w:pPr>
              <w:spacing w:after="0"/>
              <w:rPr>
                <w:sz w:val="11"/>
                <w:szCs w:val="11"/>
                <w:color w:val="auto"/>
              </w:rPr>
            </w:pPr>
          </w:p>
        </w:tc>
        <w:tc>
          <w:tcPr>
            <w:tcW w:w="4340" w:type="dxa"/>
            <w:vAlign w:val="bottom"/>
            <w:tcBorders>
              <w:bottom w:val="single" w:sz="8" w:color="2C2C2C"/>
            </w:tcBorders>
            <w:gridSpan w:val="7"/>
          </w:tcPr>
          <w:p>
            <w:pPr>
              <w:spacing w:after="0"/>
              <w:rPr>
                <w:sz w:val="11"/>
                <w:szCs w:val="11"/>
                <w:color w:val="auto"/>
              </w:rPr>
            </w:pPr>
          </w:p>
        </w:tc>
        <w:tc>
          <w:tcPr>
            <w:tcW w:w="80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4"/>
          </w:tcPr>
          <w:p>
            <w:pPr>
              <w:jc w:val="center"/>
              <w:ind w:left="73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80" w:type="dxa"/>
            <w:vAlign w:val="bottom"/>
          </w:tcPr>
          <w:p>
            <w:pPr>
              <w:spacing w:after="0"/>
              <w:rPr>
                <w:sz w:val="15"/>
                <w:szCs w:val="15"/>
                <w:color w:val="auto"/>
              </w:rPr>
            </w:pPr>
          </w:p>
        </w:tc>
        <w:tc>
          <w:tcPr>
            <w:tcW w:w="1100" w:type="dxa"/>
            <w:vAlign w:val="bottom"/>
            <w:gridSpan w:val="3"/>
          </w:tcPr>
          <w:p>
            <w:pPr>
              <w:jc w:val="right"/>
              <w:ind w:right="152"/>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6"/>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00" w:type="dxa"/>
            <w:vAlign w:val="bottom"/>
            <w:gridSpan w:val="6"/>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00" w:type="dxa"/>
            <w:vAlign w:val="bottom"/>
            <w:gridSpan w:val="3"/>
          </w:tcPr>
          <w:p>
            <w:pPr>
              <w:jc w:val="center"/>
              <w:spacing w:after="0"/>
              <w:rPr>
                <w:sz w:val="20"/>
                <w:szCs w:val="20"/>
                <w:color w:val="auto"/>
              </w:rPr>
            </w:pPr>
            <w:r>
              <w:rPr>
                <w:rFonts w:ascii="Arial" w:cs="Arial" w:eastAsia="Arial" w:hAnsi="Arial"/>
                <w:sz w:val="18"/>
                <w:szCs w:val="18"/>
                <w:color w:val="0000FF"/>
                <w:w w:val="86"/>
              </w:rPr>
              <w:t>04/24/2011</w:t>
            </w: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jc w:val="center"/>
              <w:ind w:right="278"/>
              <w:spacing w:after="0"/>
              <w:rPr>
                <w:sz w:val="20"/>
                <w:szCs w:val="20"/>
                <w:color w:val="auto"/>
              </w:rPr>
            </w:pPr>
            <w:r>
              <w:rPr>
                <w:rFonts w:ascii="Arial" w:cs="Arial" w:eastAsia="Arial" w:hAnsi="Arial"/>
                <w:sz w:val="14"/>
                <w:szCs w:val="14"/>
                <w:color w:val="0000FF"/>
              </w:rPr>
              <w:t>M</w:t>
            </w:r>
          </w:p>
        </w:tc>
        <w:tc>
          <w:tcPr>
            <w:tcW w:w="720" w:type="dxa"/>
            <w:vAlign w:val="bottom"/>
          </w:tcPr>
          <w:p>
            <w:pPr>
              <w:jc w:val="center"/>
              <w:ind w:left="90"/>
              <w:spacing w:after="0"/>
              <w:rPr>
                <w:sz w:val="20"/>
                <w:szCs w:val="20"/>
                <w:color w:val="auto"/>
              </w:rPr>
            </w:pPr>
            <w:r>
              <w:rPr>
                <w:rFonts w:ascii="Arial" w:cs="Arial" w:eastAsia="Arial" w:hAnsi="Arial"/>
                <w:sz w:val="18"/>
                <w:szCs w:val="18"/>
                <w:color w:val="0000FF"/>
                <w:w w:val="88"/>
              </w:rPr>
              <w:t>2,550</w:t>
            </w:r>
          </w:p>
        </w:tc>
        <w:tc>
          <w:tcPr>
            <w:tcW w:w="680" w:type="dxa"/>
            <w:vAlign w:val="bottom"/>
          </w:tcPr>
          <w:p>
            <w:pPr>
              <w:ind w:left="320"/>
              <w:spacing w:after="0"/>
              <w:rPr>
                <w:sz w:val="20"/>
                <w:szCs w:val="20"/>
                <w:color w:val="auto"/>
              </w:rPr>
            </w:pPr>
            <w:r>
              <w:rPr>
                <w:rFonts w:ascii="Arial" w:cs="Arial" w:eastAsia="Arial" w:hAnsi="Arial"/>
                <w:sz w:val="18"/>
                <w:szCs w:val="18"/>
                <w:color w:val="0000FF"/>
              </w:rPr>
              <w:t>A</w:t>
            </w:r>
          </w:p>
        </w:tc>
        <w:tc>
          <w:tcPr>
            <w:tcW w:w="580" w:type="dxa"/>
            <w:vAlign w:val="bottom"/>
          </w:tcPr>
          <w:p>
            <w:pPr>
              <w:jc w:val="center"/>
              <w:ind w:left="91"/>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ind w:left="340"/>
              <w:spacing w:after="0"/>
              <w:rPr>
                <w:sz w:val="20"/>
                <w:szCs w:val="20"/>
                <w:color w:val="auto"/>
              </w:rPr>
            </w:pPr>
            <w:r>
              <w:rPr>
                <w:rFonts w:ascii="Arial" w:cs="Arial" w:eastAsia="Arial" w:hAnsi="Arial"/>
                <w:sz w:val="18"/>
                <w:szCs w:val="18"/>
                <w:color w:val="0000FF"/>
              </w:rPr>
              <w:t>16,435</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gridSpan w:val="6"/>
          </w:tcPr>
          <w:p>
            <w:pPr>
              <w:spacing w:after="0"/>
              <w:rPr>
                <w:sz w:val="5"/>
                <w:szCs w:val="5"/>
                <w:color w:val="auto"/>
              </w:rPr>
            </w:pPr>
          </w:p>
        </w:tc>
        <w:tc>
          <w:tcPr>
            <w:tcW w:w="110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6"/>
              </w:rPr>
              <w:t>04/24/2011</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8"/>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jc w:val="center"/>
              <w:ind w:left="70"/>
              <w:spacing w:after="0"/>
              <w:rPr>
                <w:sz w:val="20"/>
                <w:szCs w:val="20"/>
                <w:color w:val="auto"/>
              </w:rPr>
            </w:pPr>
            <w:r>
              <w:rPr>
                <w:rFonts w:ascii="Arial" w:cs="Arial" w:eastAsia="Arial" w:hAnsi="Arial"/>
                <w:sz w:val="18"/>
                <w:szCs w:val="18"/>
                <w:color w:val="0000FF"/>
                <w:w w:val="86"/>
              </w:rPr>
              <w:t>829</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19.155</w:t>
            </w:r>
            <w:r>
              <w:rPr>
                <w:rFonts w:ascii="Arial" w:cs="Arial" w:eastAsia="Arial" w:hAnsi="Arial"/>
                <w:sz w:val="22"/>
                <w:szCs w:val="22"/>
                <w:color w:val="008000"/>
                <w:w w:val="84"/>
                <w:vertAlign w:val="superscript"/>
              </w:rPr>
              <w:t>(2)</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8"/>
                <w:szCs w:val="18"/>
                <w:color w:val="0000FF"/>
              </w:rPr>
              <w:t>15,606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00" w:type="dxa"/>
            <w:vAlign w:val="bottom"/>
            <w:gridSpan w:val="6"/>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00" w:type="dxa"/>
            <w:vAlign w:val="bottom"/>
            <w:gridSpan w:val="3"/>
          </w:tcPr>
          <w:p>
            <w:pPr>
              <w:jc w:val="center"/>
              <w:spacing w:after="0"/>
              <w:rPr>
                <w:sz w:val="20"/>
                <w:szCs w:val="20"/>
                <w:color w:val="auto"/>
              </w:rPr>
            </w:pPr>
            <w:r>
              <w:rPr>
                <w:rFonts w:ascii="Arial" w:cs="Arial" w:eastAsia="Arial" w:hAnsi="Arial"/>
                <w:sz w:val="18"/>
                <w:szCs w:val="18"/>
                <w:color w:val="0000FF"/>
                <w:w w:val="86"/>
              </w:rPr>
              <w:t>04/25/2011</w:t>
            </w: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jc w:val="center"/>
              <w:ind w:right="278"/>
              <w:spacing w:after="0"/>
              <w:rPr>
                <w:sz w:val="20"/>
                <w:szCs w:val="20"/>
                <w:color w:val="auto"/>
              </w:rPr>
            </w:pPr>
            <w:r>
              <w:rPr>
                <w:rFonts w:ascii="Arial" w:cs="Arial" w:eastAsia="Arial" w:hAnsi="Arial"/>
                <w:sz w:val="14"/>
                <w:szCs w:val="14"/>
                <w:color w:val="0000FF"/>
              </w:rPr>
              <w:t>M</w:t>
            </w:r>
          </w:p>
        </w:tc>
        <w:tc>
          <w:tcPr>
            <w:tcW w:w="720" w:type="dxa"/>
            <w:vAlign w:val="bottom"/>
          </w:tcPr>
          <w:p>
            <w:pPr>
              <w:jc w:val="center"/>
              <w:ind w:left="90"/>
              <w:spacing w:after="0"/>
              <w:rPr>
                <w:sz w:val="20"/>
                <w:szCs w:val="20"/>
                <w:color w:val="auto"/>
              </w:rPr>
            </w:pPr>
            <w:r>
              <w:rPr>
                <w:rFonts w:ascii="Arial" w:cs="Arial" w:eastAsia="Arial" w:hAnsi="Arial"/>
                <w:sz w:val="18"/>
                <w:szCs w:val="18"/>
                <w:color w:val="0000FF"/>
                <w:w w:val="88"/>
              </w:rPr>
              <w:t>4,000</w:t>
            </w:r>
          </w:p>
        </w:tc>
        <w:tc>
          <w:tcPr>
            <w:tcW w:w="680" w:type="dxa"/>
            <w:vAlign w:val="bottom"/>
          </w:tcPr>
          <w:p>
            <w:pPr>
              <w:ind w:left="320"/>
              <w:spacing w:after="0"/>
              <w:rPr>
                <w:sz w:val="20"/>
                <w:szCs w:val="20"/>
                <w:color w:val="auto"/>
              </w:rPr>
            </w:pPr>
            <w:r>
              <w:rPr>
                <w:rFonts w:ascii="Arial" w:cs="Arial" w:eastAsia="Arial" w:hAnsi="Arial"/>
                <w:sz w:val="18"/>
                <w:szCs w:val="18"/>
                <w:color w:val="0000FF"/>
              </w:rPr>
              <w:t>A</w:t>
            </w:r>
          </w:p>
        </w:tc>
        <w:tc>
          <w:tcPr>
            <w:tcW w:w="580" w:type="dxa"/>
            <w:vAlign w:val="bottom"/>
          </w:tcPr>
          <w:p>
            <w:pPr>
              <w:jc w:val="center"/>
              <w:ind w:left="91"/>
              <w:spacing w:after="0"/>
              <w:rPr>
                <w:sz w:val="20"/>
                <w:szCs w:val="20"/>
                <w:color w:val="auto"/>
              </w:rPr>
            </w:pPr>
            <w:r>
              <w:rPr>
                <w:rFonts w:ascii="Arial" w:cs="Arial" w:eastAsia="Arial" w:hAnsi="Arial"/>
                <w:sz w:val="11"/>
                <w:szCs w:val="11"/>
                <w:color w:val="008000"/>
              </w:rPr>
              <w:t>(3)</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ind w:left="340"/>
              <w:spacing w:after="0"/>
              <w:rPr>
                <w:sz w:val="20"/>
                <w:szCs w:val="20"/>
                <w:color w:val="auto"/>
              </w:rPr>
            </w:pPr>
            <w:r>
              <w:rPr>
                <w:rFonts w:ascii="Arial" w:cs="Arial" w:eastAsia="Arial" w:hAnsi="Arial"/>
                <w:sz w:val="18"/>
                <w:szCs w:val="18"/>
                <w:color w:val="0000FF"/>
              </w:rPr>
              <w:t>19,606</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gridSpan w:val="6"/>
          </w:tcPr>
          <w:p>
            <w:pPr>
              <w:spacing w:after="0"/>
              <w:rPr>
                <w:sz w:val="5"/>
                <w:szCs w:val="5"/>
                <w:color w:val="auto"/>
              </w:rPr>
            </w:pPr>
          </w:p>
        </w:tc>
        <w:tc>
          <w:tcPr>
            <w:tcW w:w="110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0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6"/>
              </w:rPr>
              <w:t>04/25/2011</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8"/>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jc w:val="center"/>
              <w:ind w:left="90"/>
              <w:spacing w:after="0"/>
              <w:rPr>
                <w:sz w:val="20"/>
                <w:szCs w:val="20"/>
                <w:color w:val="auto"/>
              </w:rPr>
            </w:pPr>
            <w:r>
              <w:rPr>
                <w:rFonts w:ascii="Arial" w:cs="Arial" w:eastAsia="Arial" w:hAnsi="Arial"/>
                <w:sz w:val="18"/>
                <w:szCs w:val="18"/>
                <w:color w:val="0000FF"/>
                <w:w w:val="88"/>
              </w:rPr>
              <w:t>1,298</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19.155</w:t>
            </w:r>
            <w:r>
              <w:rPr>
                <w:rFonts w:ascii="Arial" w:cs="Arial" w:eastAsia="Arial" w:hAnsi="Arial"/>
                <w:sz w:val="22"/>
                <w:szCs w:val="22"/>
                <w:color w:val="008000"/>
                <w:w w:val="84"/>
                <w:vertAlign w:val="superscript"/>
              </w:rPr>
              <w:t>(4)</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8"/>
                <w:szCs w:val="18"/>
                <w:color w:val="0000FF"/>
              </w:rPr>
              <w:t>18,308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jc w:val="center"/>
              <w:ind w:left="83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80" w:type="dxa"/>
            <w:vAlign w:val="bottom"/>
            <w:gridSpan w:val="10"/>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Amount of</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9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ind w:left="80"/>
              <w:spacing w:after="0"/>
              <w:rPr>
                <w:sz w:val="20"/>
                <w:szCs w:val="20"/>
                <w:color w:val="auto"/>
              </w:rPr>
            </w:pPr>
            <w:r>
              <w:rPr>
                <w:rFonts w:ascii="Arial" w:cs="Arial" w:eastAsia="Arial" w:hAnsi="Arial"/>
                <w:sz w:val="14"/>
                <w:szCs w:val="14"/>
                <w:color w:val="0000FF"/>
              </w:rPr>
              <w:t>Common</w:t>
            </w: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vMerge w:val="restart"/>
          </w:tcPr>
          <w:p>
            <w:pPr>
              <w:ind w:left="28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0000FF"/>
                <w:w w:val="87"/>
              </w:rPr>
              <w:t>stock,</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0000FF"/>
              </w:rPr>
              <w:t>2,550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60" w:type="dxa"/>
            <w:vAlign w:val="bottom"/>
          </w:tcPr>
          <w:p>
            <w:pPr>
              <w:spacing w:after="0"/>
              <w:rPr>
                <w:sz w:val="5"/>
                <w:szCs w:val="5"/>
                <w:color w:val="auto"/>
              </w:rPr>
            </w:pPr>
          </w:p>
        </w:tc>
        <w:tc>
          <w:tcPr>
            <w:tcW w:w="1080" w:type="dxa"/>
            <w:vAlign w:val="bottom"/>
            <w:vMerge w:val="restart"/>
          </w:tcPr>
          <w:p>
            <w:pPr>
              <w:jc w:val="right"/>
              <w:ind w:right="130"/>
              <w:spacing w:after="0" w:line="149" w:lineRule="exact"/>
              <w:rPr>
                <w:sz w:val="20"/>
                <w:szCs w:val="20"/>
                <w:color w:val="auto"/>
              </w:rPr>
            </w:pPr>
            <w:r>
              <w:rPr>
                <w:rFonts w:ascii="Arial" w:cs="Arial" w:eastAsia="Arial" w:hAnsi="Arial"/>
                <w:sz w:val="14"/>
                <w:szCs w:val="14"/>
                <w:color w:val="0000FF"/>
              </w:rPr>
              <w:t>04/24/2011</w:t>
            </w: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vMerge w:val="restart"/>
          </w:tcPr>
          <w:p>
            <w:pPr>
              <w:jc w:val="right"/>
              <w:ind w:right="132"/>
              <w:spacing w:after="0" w:line="149" w:lineRule="exact"/>
              <w:rPr>
                <w:sz w:val="20"/>
                <w:szCs w:val="20"/>
                <w:color w:val="auto"/>
              </w:rPr>
            </w:pPr>
            <w:r>
              <w:rPr>
                <w:rFonts w:ascii="Arial" w:cs="Arial" w:eastAsia="Arial" w:hAnsi="Arial"/>
                <w:sz w:val="14"/>
                <w:szCs w:val="14"/>
                <w:color w:val="0000FF"/>
              </w:rPr>
              <w:t>M</w:t>
            </w:r>
          </w:p>
        </w:tc>
        <w:tc>
          <w:tcPr>
            <w:tcW w:w="420" w:type="dxa"/>
            <w:vAlign w:val="bottom"/>
          </w:tcPr>
          <w:p>
            <w:pPr>
              <w:spacing w:after="0"/>
              <w:rPr>
                <w:sz w:val="5"/>
                <w:szCs w:val="5"/>
                <w:color w:val="auto"/>
              </w:rPr>
            </w:pPr>
          </w:p>
        </w:tc>
        <w:tc>
          <w:tcPr>
            <w:tcW w:w="760" w:type="dxa"/>
            <w:vAlign w:val="bottom"/>
            <w:vMerge w:val="restart"/>
          </w:tcPr>
          <w:p>
            <w:pPr>
              <w:ind w:left="320"/>
              <w:spacing w:after="0" w:line="149" w:lineRule="exact"/>
              <w:rPr>
                <w:sz w:val="20"/>
                <w:szCs w:val="20"/>
                <w:color w:val="auto"/>
              </w:rPr>
            </w:pPr>
            <w:r>
              <w:rPr>
                <w:rFonts w:ascii="Arial" w:cs="Arial" w:eastAsia="Arial" w:hAnsi="Arial"/>
                <w:sz w:val="14"/>
                <w:szCs w:val="14"/>
                <w:color w:val="0000FF"/>
              </w:rPr>
              <w:t>2,550</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right"/>
              <w:spacing w:after="0" w:line="149" w:lineRule="exact"/>
              <w:rPr>
                <w:sz w:val="20"/>
                <w:szCs w:val="20"/>
                <w:color w:val="auto"/>
              </w:rPr>
            </w:pPr>
            <w:r>
              <w:rPr>
                <w:rFonts w:ascii="Arial" w:cs="Arial" w:eastAsia="Arial" w:hAnsi="Arial"/>
                <w:sz w:val="14"/>
                <w:szCs w:val="14"/>
                <w:color w:val="0000FF"/>
              </w:rPr>
              <w:t>3,400</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$0.001</w:t>
            </w: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Arial" w:cs="Arial" w:eastAsia="Arial" w:hAnsi="Arial"/>
                <w:sz w:val="14"/>
                <w:szCs w:val="14"/>
                <w:color w:val="0000FF"/>
                <w:w w:val="97"/>
              </w:rPr>
              <w:t>per share</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ind w:left="80"/>
              <w:spacing w:after="0"/>
              <w:rPr>
                <w:sz w:val="20"/>
                <w:szCs w:val="20"/>
                <w:color w:val="auto"/>
              </w:rPr>
            </w:pPr>
            <w:r>
              <w:rPr>
                <w:rFonts w:ascii="Arial" w:cs="Arial" w:eastAsia="Arial" w:hAnsi="Arial"/>
                <w:sz w:val="14"/>
                <w:szCs w:val="14"/>
                <w:color w:val="0000FF"/>
              </w:rPr>
              <w:t>Common</w:t>
            </w: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vMerge w:val="restart"/>
          </w:tcPr>
          <w:p>
            <w:pPr>
              <w:ind w:left="280"/>
              <w:spacing w:after="0"/>
              <w:rPr>
                <w:sz w:val="20"/>
                <w:szCs w:val="20"/>
                <w:color w:val="auto"/>
              </w:rPr>
            </w:pPr>
            <w:r>
              <w:rPr>
                <w:rFonts w:ascii="Arial" w:cs="Arial" w:eastAsia="Arial" w:hAnsi="Arial"/>
                <w:sz w:val="11"/>
                <w:szCs w:val="11"/>
                <w:color w:val="008000"/>
              </w:rPr>
              <w:t>(6)</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rPr>
              <w:t>(6)</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0000FF"/>
                <w:w w:val="87"/>
              </w:rPr>
              <w:t>stock,</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0000FF"/>
              </w:rPr>
              <w:t>4,000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60" w:type="dxa"/>
            <w:vAlign w:val="bottom"/>
          </w:tcPr>
          <w:p>
            <w:pPr>
              <w:spacing w:after="0"/>
              <w:rPr>
                <w:sz w:val="5"/>
                <w:szCs w:val="5"/>
                <w:color w:val="auto"/>
              </w:rPr>
            </w:pPr>
          </w:p>
        </w:tc>
        <w:tc>
          <w:tcPr>
            <w:tcW w:w="1080" w:type="dxa"/>
            <w:vAlign w:val="bottom"/>
            <w:vMerge w:val="restart"/>
          </w:tcPr>
          <w:p>
            <w:pPr>
              <w:jc w:val="right"/>
              <w:ind w:right="130"/>
              <w:spacing w:after="0" w:line="149" w:lineRule="exact"/>
              <w:rPr>
                <w:sz w:val="20"/>
                <w:szCs w:val="20"/>
                <w:color w:val="auto"/>
              </w:rPr>
            </w:pPr>
            <w:r>
              <w:rPr>
                <w:rFonts w:ascii="Arial" w:cs="Arial" w:eastAsia="Arial" w:hAnsi="Arial"/>
                <w:sz w:val="14"/>
                <w:szCs w:val="14"/>
                <w:color w:val="0000FF"/>
              </w:rPr>
              <w:t>04/25/2011</w:t>
            </w: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vMerge w:val="restart"/>
          </w:tcPr>
          <w:p>
            <w:pPr>
              <w:jc w:val="right"/>
              <w:ind w:right="132"/>
              <w:spacing w:after="0" w:line="149" w:lineRule="exact"/>
              <w:rPr>
                <w:sz w:val="20"/>
                <w:szCs w:val="20"/>
                <w:color w:val="auto"/>
              </w:rPr>
            </w:pPr>
            <w:r>
              <w:rPr>
                <w:rFonts w:ascii="Arial" w:cs="Arial" w:eastAsia="Arial" w:hAnsi="Arial"/>
                <w:sz w:val="14"/>
                <w:szCs w:val="14"/>
                <w:color w:val="0000FF"/>
              </w:rPr>
              <w:t>M</w:t>
            </w:r>
          </w:p>
        </w:tc>
        <w:tc>
          <w:tcPr>
            <w:tcW w:w="420" w:type="dxa"/>
            <w:vAlign w:val="bottom"/>
          </w:tcPr>
          <w:p>
            <w:pPr>
              <w:spacing w:after="0"/>
              <w:rPr>
                <w:sz w:val="5"/>
                <w:szCs w:val="5"/>
                <w:color w:val="auto"/>
              </w:rPr>
            </w:pPr>
          </w:p>
        </w:tc>
        <w:tc>
          <w:tcPr>
            <w:tcW w:w="760" w:type="dxa"/>
            <w:vAlign w:val="bottom"/>
            <w:vMerge w:val="restart"/>
          </w:tcPr>
          <w:p>
            <w:pPr>
              <w:ind w:left="320"/>
              <w:spacing w:after="0" w:line="149" w:lineRule="exact"/>
              <w:rPr>
                <w:sz w:val="20"/>
                <w:szCs w:val="20"/>
                <w:color w:val="auto"/>
              </w:rPr>
            </w:pPr>
            <w:r>
              <w:rPr>
                <w:rFonts w:ascii="Arial" w:cs="Arial" w:eastAsia="Arial" w:hAnsi="Arial"/>
                <w:sz w:val="14"/>
                <w:szCs w:val="14"/>
                <w:color w:val="0000FF"/>
              </w:rPr>
              <w:t>4,000</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right"/>
              <w:ind w:right="118"/>
              <w:spacing w:after="0" w:line="149"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color w:val="0000FF"/>
                <w:w w:val="88"/>
              </w:rPr>
              <w:t>$0.001</w:t>
            </w: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As of April 24, 2011, ExlService Holdings, Inc. (the "Company") issued 2,550 shares of common stock, par value $0.001 per share ("Common Stock"), to the reporting person upon the vesting of an equal number of shares of restricted stock previously granted to the reporting person.</w:t>
      </w:r>
    </w:p>
    <w:p>
      <w:pPr>
        <w:spacing w:after="0" w:line="30" w:lineRule="exact"/>
        <w:rPr>
          <w:rFonts w:ascii="Arial" w:cs="Arial" w:eastAsia="Arial" w:hAnsi="Arial"/>
          <w:sz w:val="14"/>
          <w:szCs w:val="14"/>
          <w:color w:val="008000"/>
        </w:rPr>
      </w:pPr>
    </w:p>
    <w:p>
      <w:pPr>
        <w:ind w:left="40" w:right="14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reported in this report vested on April 24, 2011. Pursuant to the Company's 2006 Omnibus Award Plan, pursuant to which such restricted stock was granted, the average of the high and low sale prices of the Common Stock on the Nasdaq Global Select Market on the preceding day is used for tax reporting and withholding purposes.</w:t>
      </w:r>
    </w:p>
    <w:p>
      <w:pPr>
        <w:ind w:left="40" w:right="3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As of April 25, 2011, ExlService Holdings, Inc. (the "Company") issued 4,000 shares of common stock, par value $0.001 per share ("Common Stock"), to the reporting person upon the vesting of an equal number of shares of restricted stock previously granted to the reporting person.</w:t>
      </w:r>
    </w:p>
    <w:p>
      <w:pPr>
        <w:spacing w:after="0" w:line="30" w:lineRule="exact"/>
        <w:rPr>
          <w:rFonts w:ascii="Arial" w:cs="Arial" w:eastAsia="Arial" w:hAnsi="Arial"/>
          <w:sz w:val="14"/>
          <w:szCs w:val="14"/>
          <w:color w:val="008000"/>
        </w:rPr>
      </w:pPr>
    </w:p>
    <w:p>
      <w:pPr>
        <w:ind w:left="40" w:right="14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reported in this report vested on April 25, 2011. Pursuant to the Company's 2006 Omnibus Award Plan, pursuant to which such restricted stock was granted, the average of the high and low sale prices of the Common Stock on the Nasdaq Global Select Market on the preceding day is used for tax reporting and withholding purposes.</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2,550 shares of restricted stock vested on April 24, 2011; and the remaining 3,400 shares of restricted stock will vest on April 24, 2012.</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remaining 4,000 shares of restricted stock vested on April 25, 2011.</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04/26/2011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29"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2019-12-16T15:45:52Z</dcterms:created>
  <dcterms:modified xsi:type="dcterms:W3CDTF">2019-12-16T15:45:52Z</dcterms:modified>
</cp:coreProperties>
</file>