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8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FORM 8-K/A</w:t>
      </w:r>
    </w:p>
    <w:p>
      <w:pPr>
        <w:spacing w:after="0" w:line="34"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2" w:lineRule="exact"/>
        <w:rPr>
          <w:sz w:val="24"/>
          <w:szCs w:val="24"/>
          <w:color w:val="auto"/>
        </w:rPr>
      </w:pPr>
    </w:p>
    <w:p>
      <w:pPr>
        <w:jc w:val="center"/>
        <w:ind w:right="-81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Pursuant to Sections 13 or 15(d) of the</w:t>
      </w:r>
    </w:p>
    <w:p>
      <w:pPr>
        <w:spacing w:after="0" w:line="14"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August 1, 2011 (June 6,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7" w:lineRule="exact"/>
        <w:rPr>
          <w:sz w:val="24"/>
          <w:szCs w:val="24"/>
          <w:color w:val="auto"/>
        </w:rPr>
      </w:pPr>
    </w:p>
    <w:p>
      <w:pPr>
        <w:jc w:val="center"/>
        <w:ind w:right="-819"/>
        <w:spacing w:after="0"/>
        <w:rPr>
          <w:sz w:val="20"/>
          <w:szCs w:val="20"/>
          <w:color w:val="auto"/>
        </w:rPr>
      </w:pPr>
      <w:r>
        <w:rPr>
          <w:rFonts w:ascii="Arial" w:cs="Arial" w:eastAsia="Arial" w:hAnsi="Arial"/>
          <w:sz w:val="43"/>
          <w:szCs w:val="43"/>
          <w:b w:val="1"/>
          <w:bCs w:val="1"/>
          <w:color w:val="auto"/>
        </w:rPr>
        <w:t>EXLSERVICE HOLDINGS,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2900" w:type="dxa"/>
            <w:vAlign w:val="bottom"/>
          </w:tcPr>
          <w:p>
            <w:pPr>
              <w:jc w:val="center"/>
              <w:ind w:right="1286"/>
              <w:spacing w:after="0"/>
              <w:rPr>
                <w:sz w:val="20"/>
                <w:szCs w:val="20"/>
                <w:color w:val="auto"/>
              </w:rPr>
            </w:pPr>
            <w:r>
              <w:rPr>
                <w:rFonts w:ascii="Arial" w:cs="Arial" w:eastAsia="Arial" w:hAnsi="Arial"/>
                <w:sz w:val="18"/>
                <w:szCs w:val="18"/>
                <w:b w:val="1"/>
                <w:bCs w:val="1"/>
                <w:color w:val="auto"/>
                <w:w w:val="88"/>
              </w:rPr>
              <w:t>Delaware</w:t>
            </w:r>
          </w:p>
        </w:tc>
        <w:tc>
          <w:tcPr>
            <w:tcW w:w="3560" w:type="dxa"/>
            <w:vAlign w:val="bottom"/>
          </w:tcPr>
          <w:p>
            <w:pPr>
              <w:ind w:left="1380"/>
              <w:spacing w:after="0"/>
              <w:rPr>
                <w:sz w:val="20"/>
                <w:szCs w:val="20"/>
                <w:color w:val="auto"/>
              </w:rPr>
            </w:pPr>
            <w:r>
              <w:rPr>
                <w:rFonts w:ascii="Arial" w:cs="Arial" w:eastAsia="Arial" w:hAnsi="Arial"/>
                <w:sz w:val="18"/>
                <w:szCs w:val="18"/>
                <w:b w:val="1"/>
                <w:bCs w:val="1"/>
                <w:color w:val="auto"/>
              </w:rPr>
              <w:t>001-33089</w:t>
            </w:r>
          </w:p>
        </w:tc>
        <w:tc>
          <w:tcPr>
            <w:tcW w:w="2480" w:type="dxa"/>
            <w:vAlign w:val="bottom"/>
          </w:tcPr>
          <w:p>
            <w:pPr>
              <w:jc w:val="center"/>
              <w:ind w:left="1366"/>
              <w:spacing w:after="0"/>
              <w:rPr>
                <w:sz w:val="20"/>
                <w:szCs w:val="20"/>
                <w:color w:val="auto"/>
              </w:rPr>
            </w:pPr>
            <w:r>
              <w:rPr>
                <w:rFonts w:ascii="Arial" w:cs="Arial" w:eastAsia="Arial" w:hAnsi="Arial"/>
                <w:sz w:val="18"/>
                <w:szCs w:val="18"/>
                <w:b w:val="1"/>
                <w:bCs w:val="1"/>
                <w:color w:val="auto"/>
                <w:w w:val="87"/>
              </w:rPr>
              <w:t>82-0572194</w:t>
            </w:r>
          </w:p>
        </w:tc>
      </w:tr>
      <w:tr>
        <w:trPr>
          <w:trHeight w:val="149"/>
        </w:trPr>
        <w:tc>
          <w:tcPr>
            <w:tcW w:w="2900" w:type="dxa"/>
            <w:vAlign w:val="bottom"/>
          </w:tcPr>
          <w:p>
            <w:pPr>
              <w:jc w:val="center"/>
              <w:ind w:right="1286"/>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3560" w:type="dxa"/>
            <w:vAlign w:val="bottom"/>
          </w:tcPr>
          <w:p>
            <w:pPr>
              <w:ind w:left="138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34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900" w:type="dxa"/>
            <w:vAlign w:val="bottom"/>
          </w:tcPr>
          <w:p>
            <w:pPr>
              <w:jc w:val="center"/>
              <w:ind w:right="1286"/>
              <w:spacing w:after="0"/>
              <w:rPr>
                <w:sz w:val="20"/>
                <w:szCs w:val="20"/>
                <w:color w:val="auto"/>
              </w:rPr>
            </w:pPr>
            <w:r>
              <w:rPr>
                <w:rFonts w:ascii="Arial" w:cs="Arial" w:eastAsia="Arial" w:hAnsi="Arial"/>
                <w:sz w:val="14"/>
                <w:szCs w:val="14"/>
                <w:b w:val="1"/>
                <w:bCs w:val="1"/>
                <w:color w:val="auto"/>
                <w:w w:val="87"/>
              </w:rPr>
              <w:t>of incorporation)</w:t>
            </w:r>
          </w:p>
        </w:tc>
        <w:tc>
          <w:tcPr>
            <w:tcW w:w="3560" w:type="dxa"/>
            <w:vAlign w:val="bottom"/>
          </w:tcPr>
          <w:p>
            <w:pPr>
              <w:ind w:left="138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34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148" w:lineRule="exact"/>
        <w:rPr>
          <w:sz w:val="24"/>
          <w:szCs w:val="24"/>
          <w:color w:val="auto"/>
        </w:rPr>
      </w:pPr>
    </w:p>
    <w:p>
      <w:pPr>
        <w:ind w:left="4660"/>
        <w:spacing w:after="0"/>
        <w:rPr>
          <w:sz w:val="20"/>
          <w:szCs w:val="20"/>
          <w:color w:val="auto"/>
        </w:rPr>
      </w:pPr>
      <w:r>
        <w:rPr>
          <w:rFonts w:ascii="Arial" w:cs="Arial" w:eastAsia="Arial" w:hAnsi="Arial"/>
          <w:sz w:val="18"/>
          <w:szCs w:val="18"/>
          <w:b w:val="1"/>
          <w:bCs w:val="1"/>
          <w:color w:val="auto"/>
        </w:rPr>
        <w:t>280 Park Avenue, 38</w:t>
      </w:r>
      <w:r>
        <w:rPr>
          <w:rFonts w:ascii="Arial" w:cs="Arial" w:eastAsia="Arial" w:hAnsi="Arial"/>
          <w:sz w:val="11"/>
          <w:szCs w:val="11"/>
          <w:b w:val="1"/>
          <w:bCs w:val="1"/>
          <w:color w:val="auto"/>
        </w:rPr>
        <w:t>th</w:t>
      </w:r>
      <w:r>
        <w:rPr>
          <w:rFonts w:ascii="Arial" w:cs="Arial" w:eastAsia="Arial" w:hAnsi="Arial"/>
          <w:sz w:val="18"/>
          <w:szCs w:val="18"/>
          <w:b w:val="1"/>
          <w:bCs w:val="1"/>
          <w:color w:val="auto"/>
        </w:rPr>
        <w:t xml:space="preserve"> Floor</w:t>
      </w:r>
    </w:p>
    <w:p>
      <w:pPr>
        <w:spacing w:after="0" w:line="21" w:lineRule="exact"/>
        <w:rPr>
          <w:sz w:val="24"/>
          <w:szCs w:val="24"/>
          <w:color w:val="auto"/>
        </w:rPr>
      </w:pPr>
    </w:p>
    <w:p>
      <w:pPr>
        <w:ind w:left="4680"/>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jc w:val="center"/>
        <w:ind w:right="-8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37"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Registrant’s telephone number, including area code: (212) 277-7100</w:t>
      </w:r>
    </w:p>
    <w:p>
      <w:pPr>
        <w:spacing w:after="0" w:line="171"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4140"/>
        <w:spacing w:after="0"/>
        <w:rPr>
          <w:sz w:val="20"/>
          <w:szCs w:val="20"/>
          <w:color w:val="auto"/>
        </w:rPr>
      </w:pPr>
      <w:r>
        <w:rPr>
          <w:rFonts w:ascii="Arial" w:cs="Arial" w:eastAsia="Arial" w:hAnsi="Arial"/>
          <w:sz w:val="14"/>
          <w:szCs w:val="14"/>
          <w:b w:val="1"/>
          <w:bCs w:val="1"/>
          <w:color w:val="auto"/>
        </w:rPr>
        <w:t>(Former name or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00"/>
          </w:cols>
          <w:pgMar w:left="240" w:top="314" w:right="10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2.01 Completion of Acquisition or Disposition of Assets.</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On June 6, 2011, ExlService Holdings, Inc. (the “Company” or “EXL”) filed with the Securities and Exchange Commission a Current Report on Form 8-K (the “Form 8-K”), with respect to the completion of its previously announced acquisition of Business Process Outsourcing, Inc. (“OPI”) on May 31, 2011. This amendment to the previously filed Current Report on Form 8-K provides the financial information required under Item 9.01(a) and (b) of this Current Report.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96"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A reconciliation of pro forma adjusted financial measures to pro forma GAAP measures for the year ended December 31, 2010 and quarter ended March 31, 2011 is being furnished as Exhibit 99.1.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Financial Statements of Businesses Acquired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financial statements of OPI are being filed with this report as Exhibit 99.2:</w:t>
      </w:r>
    </w:p>
    <w:p>
      <w:pPr>
        <w:spacing w:after="0" w:line="90" w:lineRule="exact"/>
        <w:rPr>
          <w:sz w:val="20"/>
          <w:szCs w:val="20"/>
          <w:color w:val="auto"/>
        </w:rPr>
      </w:pPr>
    </w:p>
    <w:p>
      <w:pPr>
        <w:ind w:left="900" w:hanging="446"/>
        <w:spacing w:after="0"/>
        <w:tabs>
          <w:tab w:leader="none" w:pos="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Audited historical financial statements as of December 31, 2010 and 2009 and for the years ended December 31, 2010, 2009 and 2008.</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1"/>
          <w:numId w:val="2"/>
        </w:numPr>
        <w:rPr>
          <w:rFonts w:ascii="Arial" w:cs="Arial" w:eastAsia="Arial" w:hAnsi="Arial"/>
          <w:sz w:val="18"/>
          <w:szCs w:val="18"/>
          <w:color w:val="auto"/>
        </w:rPr>
      </w:pPr>
      <w:r>
        <w:rPr>
          <w:rFonts w:ascii="Arial" w:cs="Arial" w:eastAsia="Arial" w:hAnsi="Arial"/>
          <w:sz w:val="18"/>
          <w:szCs w:val="18"/>
          <w:color w:val="auto"/>
        </w:rPr>
        <w:t>Unaudited financial statements as of March 31, 2011 and for the three months ended March 31, 2011 and 2010.</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 Forma Financial Information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unaudited pro forma financial information is being filed with this report as Exhibit 99.3:</w:t>
      </w:r>
    </w:p>
    <w:p>
      <w:pPr>
        <w:spacing w:after="0" w:line="90" w:lineRule="exact"/>
        <w:rPr>
          <w:sz w:val="20"/>
          <w:szCs w:val="20"/>
          <w:color w:val="auto"/>
        </w:rPr>
      </w:pPr>
    </w:p>
    <w:p>
      <w:pPr>
        <w:ind w:left="900" w:right="10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Unaudited pro forma condensed combined statement of operations for the year ended December 31, 2010 and for the three months ended March 31, 2011.</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Unaudited pro forma condensed combined balance sheet as of March 31, 2011.</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Notes to unaudited pro forma condensed combined financial statements.</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pro forma financial statements are presented for informational purposes only and do not purport to represent what the Company’s results of operations or financial position would have been had the transactions reflected occurred on the dates indicated or to project the Company’s financial position as of any future date or the Company’s results of operations for any future period.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Exhibit</w:t>
            </w:r>
          </w:p>
        </w:tc>
        <w:tc>
          <w:tcPr>
            <w:tcW w:w="56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5380" w:type="dxa"/>
            <w:vAlign w:val="bottom"/>
          </w:tcPr>
          <w:p>
            <w:pPr>
              <w:spacing w:after="0"/>
              <w:rPr>
                <w:sz w:val="14"/>
                <w:szCs w:val="14"/>
                <w:color w:val="auto"/>
              </w:rPr>
            </w:pPr>
          </w:p>
        </w:tc>
      </w:tr>
      <w:tr>
        <w:trPr>
          <w:trHeight w:val="316"/>
        </w:trPr>
        <w:tc>
          <w:tcPr>
            <w:tcW w:w="460" w:type="dxa"/>
            <w:vAlign w:val="bottom"/>
          </w:tcPr>
          <w:p>
            <w:pPr>
              <w:spacing w:after="0"/>
              <w:rPr>
                <w:sz w:val="20"/>
                <w:szCs w:val="20"/>
                <w:color w:val="auto"/>
              </w:rPr>
            </w:pPr>
            <w:r>
              <w:rPr>
                <w:rFonts w:ascii="Arial" w:cs="Arial" w:eastAsia="Arial" w:hAnsi="Arial"/>
                <w:sz w:val="18"/>
                <w:szCs w:val="18"/>
                <w:color w:val="auto"/>
              </w:rPr>
              <w:t>23.1</w:t>
            </w:r>
          </w:p>
        </w:tc>
        <w:tc>
          <w:tcPr>
            <w:tcW w:w="560" w:type="dxa"/>
            <w:vAlign w:val="bottom"/>
          </w:tcPr>
          <w:p>
            <w:pPr>
              <w:spacing w:after="0"/>
              <w:rPr>
                <w:sz w:val="24"/>
                <w:szCs w:val="24"/>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Consent of Ernst &amp; Young LLP</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560" w:type="dxa"/>
            <w:vAlign w:val="bottom"/>
          </w:tcPr>
          <w:p>
            <w:pPr>
              <w:spacing w:after="0"/>
              <w:rPr>
                <w:sz w:val="24"/>
                <w:szCs w:val="24"/>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w w:val="88"/>
              </w:rPr>
              <w:t>Reconciliation of pro forma adjusted financial measures to pro forma GAAP measures</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99.2</w:t>
            </w:r>
          </w:p>
        </w:tc>
        <w:tc>
          <w:tcPr>
            <w:tcW w:w="560" w:type="dxa"/>
            <w:vAlign w:val="bottom"/>
          </w:tcPr>
          <w:p>
            <w:pPr>
              <w:spacing w:after="0"/>
              <w:rPr>
                <w:sz w:val="24"/>
                <w:szCs w:val="24"/>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Historical financial statements of OPI</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99.3</w:t>
            </w:r>
          </w:p>
        </w:tc>
        <w:tc>
          <w:tcPr>
            <w:tcW w:w="560" w:type="dxa"/>
            <w:vAlign w:val="bottom"/>
          </w:tcPr>
          <w:p>
            <w:pPr>
              <w:spacing w:after="0"/>
              <w:rPr>
                <w:sz w:val="24"/>
                <w:szCs w:val="24"/>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Unaudited pro forma combined condensed financial information of EXL</w:t>
            </w:r>
          </w:p>
        </w:tc>
      </w:tr>
      <w:tr>
        <w:trPr>
          <w:trHeight w:val="365"/>
        </w:trPr>
        <w:tc>
          <w:tcPr>
            <w:tcW w:w="460" w:type="dxa"/>
            <w:vAlign w:val="bottom"/>
          </w:tcPr>
          <w:p>
            <w:pPr>
              <w:spacing w:after="0"/>
              <w:rPr>
                <w:sz w:val="24"/>
                <w:szCs w:val="24"/>
                <w:color w:val="auto"/>
              </w:rPr>
            </w:pPr>
          </w:p>
        </w:tc>
        <w:tc>
          <w:tcPr>
            <w:tcW w:w="6640" w:type="dxa"/>
            <w:vAlign w:val="bottom"/>
            <w:gridSpan w:val="3"/>
          </w:tcPr>
          <w:p>
            <w:pPr>
              <w:jc w:val="right"/>
              <w:ind w:right="134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00"/>
          </w:cols>
          <w:pgMar w:left="240" w:top="274" w:right="259" w:bottom="1440" w:gutter="0" w:footer="0" w:header="0"/>
        </w:sectPr>
      </w:pPr>
    </w:p>
    <w:bookmarkStart w:id="2" w:name="page3"/>
    <w:bookmarkEnd w:id="2"/>
    <w:p>
      <w:pPr>
        <w:jc w:val="center"/>
        <w:ind w:right="-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EXLSERVICE HOLDINGS, INC.</w:t>
      </w:r>
    </w:p>
    <w:p>
      <w:pPr>
        <w:spacing w:after="0" w:line="231" w:lineRule="exact"/>
        <w:rPr>
          <w:sz w:val="20"/>
          <w:szCs w:val="20"/>
          <w:color w:val="auto"/>
        </w:rPr>
      </w:pPr>
    </w:p>
    <w:p>
      <w:pPr>
        <w:spacing w:after="0"/>
        <w:tabs>
          <w:tab w:leader="none" w:pos="5560" w:val="left"/>
          <w:tab w:leader="none" w:pos="7660" w:val="left"/>
          <w:tab w:leader="none" w:pos="8000" w:val="left"/>
        </w:tabs>
        <w:rPr>
          <w:sz w:val="20"/>
          <w:szCs w:val="20"/>
          <w:color w:val="auto"/>
        </w:rPr>
      </w:pPr>
      <w:r>
        <w:rPr>
          <w:rFonts w:ascii="Arial" w:cs="Arial" w:eastAsia="Arial" w:hAnsi="Arial"/>
          <w:sz w:val="18"/>
          <w:szCs w:val="18"/>
          <w:color w:val="auto"/>
        </w:rPr>
        <w:t>Date: August 1,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V</w:t>
      </w:r>
      <w:r>
        <w:rPr>
          <w:rFonts w:ascii="Arial" w:cs="Arial" w:eastAsia="Arial" w:hAnsi="Arial"/>
          <w:sz w:val="14"/>
          <w:szCs w:val="14"/>
          <w:color w:val="auto"/>
        </w:rPr>
        <w:t>ISHAL</w:t>
      </w:r>
      <w:r>
        <w:rPr>
          <w:rFonts w:ascii="Arial" w:cs="Arial" w:eastAsia="Arial" w:hAnsi="Arial"/>
          <w:sz w:val="18"/>
          <w:szCs w:val="18"/>
          <w:color w:val="auto"/>
        </w:rPr>
        <w:t xml:space="preserve"> C</w:t>
      </w:r>
      <w:r>
        <w:rPr>
          <w:rFonts w:ascii="Arial" w:cs="Arial" w:eastAsia="Arial" w:hAnsi="Arial"/>
          <w:sz w:val="14"/>
          <w:szCs w:val="14"/>
          <w:color w:val="auto"/>
        </w:rPr>
        <w:t>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2" w:lineRule="exact"/>
        <w:rPr>
          <w:sz w:val="20"/>
          <w:szCs w:val="20"/>
          <w:color w:val="auto"/>
        </w:rPr>
      </w:pPr>
    </w:p>
    <w:p>
      <w:pPr>
        <w:jc w:val="center"/>
        <w:ind w:left="5940"/>
        <w:spacing w:after="0"/>
        <w:rPr>
          <w:sz w:val="20"/>
          <w:szCs w:val="20"/>
          <w:color w:val="auto"/>
        </w:rPr>
      </w:pPr>
      <w:r>
        <w:rPr>
          <w:rFonts w:ascii="Arial" w:cs="Arial" w:eastAsia="Arial" w:hAnsi="Arial"/>
          <w:sz w:val="14"/>
          <w:szCs w:val="14"/>
          <w:b w:val="1"/>
          <w:bCs w:val="1"/>
          <w:color w:val="auto"/>
        </w:rPr>
        <w:t>Vishal Chhibbar</w:t>
      </w:r>
    </w:p>
    <w:p>
      <w:pPr>
        <w:jc w:val="center"/>
        <w:ind w:left="5940"/>
        <w:spacing w:after="0" w:line="223" w:lineRule="auto"/>
        <w:rPr>
          <w:sz w:val="20"/>
          <w:szCs w:val="20"/>
          <w:color w:val="auto"/>
        </w:rPr>
      </w:pPr>
      <w:r>
        <w:rPr>
          <w:rFonts w:ascii="Arial" w:cs="Arial" w:eastAsia="Arial" w:hAnsi="Arial"/>
          <w:sz w:val="14"/>
          <w:szCs w:val="14"/>
          <w:b w:val="1"/>
          <w:bCs w:val="1"/>
          <w:color w:val="auto"/>
        </w:rPr>
        <w:t>Chief Financial Officer</w:t>
      </w:r>
    </w:p>
    <w:p>
      <w:pPr>
        <w:jc w:val="center"/>
        <w:ind w:left="5940"/>
        <w:spacing w:after="0" w:line="222" w:lineRule="auto"/>
        <w:rPr>
          <w:sz w:val="20"/>
          <w:szCs w:val="20"/>
          <w:color w:val="auto"/>
        </w:rPr>
      </w:pPr>
      <w:r>
        <w:rPr>
          <w:rFonts w:ascii="Arial" w:cs="Arial" w:eastAsia="Arial" w:hAnsi="Arial"/>
          <w:sz w:val="14"/>
          <w:szCs w:val="14"/>
          <w:b w:val="1"/>
          <w:bCs w:val="1"/>
          <w:color w:val="auto"/>
        </w:rPr>
        <w:t>(Duly Authorized Signatory, Principal Financial and</w:t>
      </w:r>
    </w:p>
    <w:p>
      <w:pPr>
        <w:jc w:val="center"/>
        <w:ind w:left="5940"/>
        <w:spacing w:after="0"/>
        <w:rPr>
          <w:sz w:val="20"/>
          <w:szCs w:val="20"/>
          <w:color w:val="auto"/>
        </w:rPr>
      </w:pPr>
      <w:r>
        <w:rPr>
          <w:rFonts w:ascii="Arial" w:cs="Arial" w:eastAsia="Arial" w:hAnsi="Arial"/>
          <w:sz w:val="14"/>
          <w:szCs w:val="14"/>
          <w:b w:val="1"/>
          <w:bCs w:val="1"/>
          <w:color w:val="auto"/>
        </w:rPr>
        <w:t>Accounting Officer)</w:t>
      </w:r>
    </w:p>
    <w:p>
      <w:pPr>
        <w:spacing w:after="0" w:line="14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40"/>
          </w:cols>
          <w:pgMar w:left="240" w:top="274" w:right="1119" w:bottom="1440" w:gutter="0" w:footer="0" w:header="0"/>
        </w:sectPr>
      </w:pPr>
    </w:p>
    <w:bookmarkStart w:id="3" w:name="page4"/>
    <w:bookmarkEnd w:id="3"/>
    <w:p>
      <w:pPr>
        <w:ind w:left="50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as part of this Current Report on Form 8-K/A:</w:t>
      </w:r>
    </w:p>
    <w:p>
      <w:pPr>
        <w:spacing w:after="0" w:line="21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Ernst &amp; Young LLP</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Reconciliation of pro forma adjusted financial measures to pro forma GAAP measures</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Historical financial statements of OPI</w:t>
      </w:r>
    </w:p>
    <w:p>
      <w:pPr>
        <w:spacing w:after="0" w:line="117" w:lineRule="exact"/>
        <w:rPr>
          <w:sz w:val="20"/>
          <w:szCs w:val="20"/>
          <w:color w:val="auto"/>
        </w:rPr>
      </w:pPr>
    </w:p>
    <w:p>
      <w:pPr>
        <w:jc w:val="right"/>
        <w:ind w:right="4419"/>
        <w:spacing w:after="0"/>
        <w:tabs>
          <w:tab w:leader="none" w:pos="6060" w:val="left"/>
        </w:tabs>
        <w:rPr>
          <w:sz w:val="20"/>
          <w:szCs w:val="20"/>
          <w:color w:val="auto"/>
        </w:rPr>
      </w:pPr>
      <w:r>
        <w:rPr>
          <w:rFonts w:ascii="Arial" w:cs="Arial" w:eastAsia="Arial" w:hAnsi="Arial"/>
          <w:sz w:val="18"/>
          <w:szCs w:val="18"/>
          <w:color w:val="auto"/>
        </w:rPr>
        <w:t>99.3</w:t>
      </w:r>
      <w:r>
        <w:rPr>
          <w:sz w:val="20"/>
          <w:szCs w:val="20"/>
          <w:color w:val="auto"/>
        </w:rPr>
        <w:tab/>
      </w:r>
      <w:r>
        <w:rPr>
          <w:rFonts w:ascii="Arial" w:cs="Arial" w:eastAsia="Arial" w:hAnsi="Arial"/>
          <w:sz w:val="16"/>
          <w:szCs w:val="16"/>
          <w:color w:val="auto"/>
        </w:rPr>
        <w:t>Unaudited pro forma condensed combined financial information of EXL</w:t>
      </w:r>
    </w:p>
    <w:p>
      <w:pPr>
        <w:spacing w:after="0" w:line="158"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27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23.1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680" w:firstLine="456"/>
        <w:spacing w:after="0" w:line="332" w:lineRule="auto"/>
        <w:rPr>
          <w:sz w:val="20"/>
          <w:szCs w:val="20"/>
          <w:color w:val="auto"/>
        </w:rPr>
      </w:pPr>
      <w:r>
        <w:rPr>
          <w:rFonts w:ascii="Arial" w:cs="Arial" w:eastAsia="Arial" w:hAnsi="Arial"/>
          <w:sz w:val="16"/>
          <w:szCs w:val="16"/>
          <w:color w:val="auto"/>
        </w:rPr>
        <w:t>We consent to the incorporation of our report dated March 11, 2011 (except for note 16, as to which the date is August 1, 2011) with respect to the consolidated financial statements and schedules of Business Process Outsourcing, Inc in the Current Report filed (Form 8-K/A No. 001-33089).</w:t>
      </w:r>
    </w:p>
    <w:p>
      <w:pPr>
        <w:spacing w:after="0" w:line="85" w:lineRule="exact"/>
        <w:rPr>
          <w:sz w:val="20"/>
          <w:szCs w:val="20"/>
          <w:color w:val="auto"/>
        </w:rPr>
      </w:pPr>
    </w:p>
    <w:p>
      <w:pPr>
        <w:ind w:right="440" w:firstLine="456"/>
        <w:spacing w:after="0" w:line="256" w:lineRule="auto"/>
        <w:rPr>
          <w:sz w:val="20"/>
          <w:szCs w:val="20"/>
          <w:color w:val="auto"/>
        </w:rPr>
      </w:pPr>
      <w:r>
        <w:rPr>
          <w:rFonts w:ascii="Arial" w:cs="Arial" w:eastAsia="Arial" w:hAnsi="Arial"/>
          <w:sz w:val="18"/>
          <w:szCs w:val="18"/>
          <w:color w:val="auto"/>
        </w:rPr>
        <w:t>We consent to the incorporation by reference in the registration statements on Forms S-8 (Nos. 333-139211 and 333-157076) and Form S-3 (No. 333-162335) of ExlService Holdings, Inc of our report dated March 11, 2011 (except for note 16, as to which the date is August 1, 2011) with respect to the consolidated financial statements and schedules of Business Process Outsourcing, Inc, which report appears in this Current Report on Form 8-K/A filed by ExlService Holdings, Inc on August 1, 2011.</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Bangalore, India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August 1, 2011</w:t>
      </w:r>
    </w:p>
    <w:p>
      <w:pPr>
        <w:sectPr>
          <w:pgSz w:w="11900" w:h="16838" w:orient="portrait"/>
          <w:cols w:equalWidth="0" w:num="1">
            <w:col w:w="11420"/>
          </w:cols>
          <w:pgMar w:left="240" w:top="125"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Pro Forma Adjusted Financial Measures to Pro Forma GAAP Measures</w:t>
      </w:r>
    </w:p>
    <w:p>
      <w:pPr>
        <w:spacing w:after="0" w:line="17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addition to its combined reported operating results in accordance with U.S. generally accepted accounting principles (“GAAP”), EXL has included in this Exhibit 99.1 to Form 8-K/A pro forma adjusted financial measures that the Securities and Exchange Commission defines as “non-GAAP financial measures.” Management believes that these pro forma adjusted financial measures, when read in conjunction with the Company’s reported results, can provide useful supplemental information for investors analyzing period to period comparisons of the Company’s results because the adjustments eliminate the impact of the following three items which do not directly link to the Company’s ongoing performance: (i) stock-based compensation and (ii) expenses associated with the amortization of acquisition-related intangibles. The Company also incurs significant non-cash charges for depreciation that may not be indicative of our ability to generate cash flow. The Company believes that providing the measure of adjusted EBITDA will help investors better understand the Company’s underlying financial performance and ability to generate cash flows from operations. Adjusted EBITDA does not represent cash flows from operations as defined by GAAP. The pro forma adjusted financial measures disclosed by the Company should not be considered a substitute for, or superior to, financial measures calculated in accordance with GAAP, and the financial results calculated in accordance with GAAP and reconciliations from those financial statements should be carefully evaluated.</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the reconciliation of these pro forma adjusted financial measures from pro forma GAAP measures for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2010 and the quarter ended March 31, 2011:</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Operating Income and Adjusted EBITDA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18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80" w:type="dxa"/>
            <w:vAlign w:val="bottom"/>
            <w:gridSpan w:val="6"/>
          </w:tcPr>
          <w:p>
            <w:pPr>
              <w:jc w:val="center"/>
              <w:ind w:right="820"/>
              <w:spacing w:after="0"/>
              <w:rPr>
                <w:sz w:val="20"/>
                <w:szCs w:val="20"/>
                <w:color w:val="auto"/>
              </w:rPr>
            </w:pPr>
            <w:r>
              <w:rPr>
                <w:rFonts w:ascii="Arial" w:cs="Arial" w:eastAsia="Arial" w:hAnsi="Arial"/>
                <w:sz w:val="14"/>
                <w:szCs w:val="14"/>
                <w:b w:val="1"/>
                <w:bCs w:val="1"/>
                <w:color w:val="auto"/>
                <w:w w:val="88"/>
              </w:rPr>
              <w:t>Year Ended</w:t>
            </w:r>
          </w:p>
        </w:tc>
        <w:tc>
          <w:tcPr>
            <w:tcW w:w="1200" w:type="dxa"/>
            <w:vAlign w:val="bottom"/>
            <w:gridSpan w:val="6"/>
          </w:tcPr>
          <w:p>
            <w:pPr>
              <w:ind w:left="100"/>
              <w:spacing w:after="0"/>
              <w:rPr>
                <w:sz w:val="20"/>
                <w:szCs w:val="20"/>
                <w:color w:val="auto"/>
              </w:rPr>
            </w:pPr>
            <w:r>
              <w:rPr>
                <w:rFonts w:ascii="Arial" w:cs="Arial" w:eastAsia="Arial" w:hAnsi="Arial"/>
                <w:sz w:val="14"/>
                <w:szCs w:val="14"/>
                <w:b w:val="1"/>
                <w:bCs w:val="1"/>
                <w:color w:val="auto"/>
              </w:rPr>
              <w:t>Quarter Ended</w:t>
            </w:r>
          </w:p>
        </w:tc>
      </w:t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000" w:type="dxa"/>
            <w:vAlign w:val="bottom"/>
            <w:gridSpan w:val="7"/>
          </w:tcPr>
          <w:p>
            <w:pPr>
              <w:jc w:val="center"/>
              <w:ind w:right="380"/>
              <w:spacing w:after="0"/>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9"/>
              </w:rPr>
              <w:t>March 31,</w:t>
            </w:r>
          </w:p>
        </w:tc>
      </w:tr>
      <w:tr>
        <w:trPr>
          <w:trHeight w:val="142"/>
        </w:trPr>
        <w:tc>
          <w:tcPr>
            <w:tcW w:w="20" w:type="dxa"/>
            <w:vAlign w:val="bottom"/>
          </w:tcPr>
          <w:p>
            <w:pPr>
              <w:spacing w:after="0"/>
              <w:rPr>
                <w:sz w:val="12"/>
                <w:szCs w:val="12"/>
                <w:color w:val="auto"/>
              </w:rPr>
            </w:pPr>
          </w:p>
        </w:tc>
        <w:tc>
          <w:tcPr>
            <w:tcW w:w="546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3"/>
          </w:tcPr>
          <w:p>
            <w:pPr>
              <w:jc w:val="center"/>
              <w:ind w:right="74"/>
              <w:spacing w:after="0" w:line="142" w:lineRule="exact"/>
              <w:rPr>
                <w:sz w:val="20"/>
                <w:szCs w:val="20"/>
                <w:color w:val="auto"/>
              </w:rPr>
            </w:pPr>
            <w:r>
              <w:rPr>
                <w:rFonts w:ascii="Arial" w:cs="Arial" w:eastAsia="Arial" w:hAnsi="Arial"/>
                <w:sz w:val="14"/>
                <w:szCs w:val="14"/>
                <w:b w:val="1"/>
                <w:bCs w:val="1"/>
                <w:color w:val="auto"/>
                <w:w w:val="83"/>
              </w:rPr>
              <w:t>2010</w:t>
            </w:r>
          </w:p>
        </w:tc>
        <w:tc>
          <w:tcPr>
            <w:tcW w:w="22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(GAAP)</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28,746</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10,113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460" w:type="dxa"/>
            <w:vAlign w:val="bottom"/>
          </w:tcPr>
          <w:p>
            <w:pPr>
              <w:ind w:left="420"/>
              <w:spacing w:after="0"/>
              <w:rPr>
                <w:sz w:val="20"/>
                <w:szCs w:val="20"/>
                <w:color w:val="auto"/>
              </w:rPr>
            </w:pPr>
            <w:r>
              <w:rPr>
                <w:rFonts w:ascii="Arial" w:cs="Arial" w:eastAsia="Arial" w:hAnsi="Arial"/>
                <w:sz w:val="18"/>
                <w:szCs w:val="18"/>
                <w:color w:val="auto"/>
              </w:rPr>
              <w:t>add: Income tax provision and other income</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1,092</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(531)</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 (GAAP)</w:t>
            </w:r>
          </w:p>
        </w:tc>
        <w:tc>
          <w:tcPr>
            <w:tcW w:w="4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29,838</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420"/>
              <w:spacing w:after="0"/>
              <w:rPr>
                <w:sz w:val="20"/>
                <w:szCs w:val="20"/>
                <w:color w:val="auto"/>
              </w:rPr>
            </w:pPr>
            <w:r>
              <w:rPr>
                <w:rFonts w:ascii="Arial" w:cs="Arial" w:eastAsia="Arial" w:hAnsi="Arial"/>
                <w:sz w:val="18"/>
                <w:szCs w:val="18"/>
                <w:color w:val="auto"/>
              </w:rPr>
              <w:t>add: Stock-based compensation expense</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8,815</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2,328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 Amortization of acquisition-related intangibles</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5,337</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3"/>
        </w:trPr>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Adjusted operating income (Non-GAAP)</w:t>
            </w:r>
          </w:p>
        </w:tc>
        <w:tc>
          <w:tcPr>
            <w:tcW w:w="4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43,990</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13,374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Adjusted operating income margin %</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i w:val="1"/>
                <w:iCs w:val="1"/>
                <w:color w:val="auto"/>
              </w:rPr>
              <w:t>13.4%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i w:val="1"/>
                <w:iCs w:val="1"/>
                <w:color w:val="auto"/>
              </w:rPr>
              <w:t>14.1%</w:t>
            </w:r>
          </w:p>
        </w:tc>
      </w:tr>
      <w:tr>
        <w:trPr>
          <w:trHeight w:val="216"/>
        </w:trPr>
        <w:tc>
          <w:tcPr>
            <w:tcW w:w="20" w:type="dxa"/>
            <w:vAlign w:val="bottom"/>
          </w:tcPr>
          <w:p>
            <w:pPr>
              <w:spacing w:after="0"/>
              <w:rPr>
                <w:sz w:val="18"/>
                <w:szCs w:val="18"/>
                <w:color w:val="auto"/>
              </w:rPr>
            </w:pPr>
          </w:p>
        </w:tc>
        <w:tc>
          <w:tcPr>
            <w:tcW w:w="5460" w:type="dxa"/>
            <w:vAlign w:val="bottom"/>
          </w:tcPr>
          <w:p>
            <w:pPr>
              <w:ind w:left="420"/>
              <w:spacing w:after="0"/>
              <w:rPr>
                <w:sz w:val="20"/>
                <w:szCs w:val="20"/>
                <w:color w:val="auto"/>
              </w:rPr>
            </w:pPr>
            <w:r>
              <w:rPr>
                <w:rFonts w:ascii="Arial" w:cs="Arial" w:eastAsia="Arial" w:hAnsi="Arial"/>
                <w:sz w:val="18"/>
                <w:szCs w:val="18"/>
                <w:color w:val="auto"/>
              </w:rPr>
              <w:t>add: Depreciation</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17,400</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5,060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(Non-GAAP)</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61,390</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w w:val="79"/>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18,434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i w:val="1"/>
                <w:iCs w:val="1"/>
                <w:color w:val="auto"/>
              </w:rPr>
              <w:t>Adjusted EBITDA margin %</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18.7%</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8"/>
                <w:szCs w:val="18"/>
                <w:i w:val="1"/>
                <w:iCs w:val="1"/>
                <w:color w:val="auto"/>
              </w:rPr>
              <w:t>19.5%</w:t>
            </w:r>
          </w:p>
        </w:tc>
      </w:tr>
      <w:tr>
        <w:trPr>
          <w:trHeight w:val="525"/>
        </w:trPr>
        <w:tc>
          <w:tcPr>
            <w:tcW w:w="20" w:type="dxa"/>
            <w:vAlign w:val="bottom"/>
          </w:tcPr>
          <w:p>
            <w:pPr>
              <w:spacing w:after="0"/>
              <w:rPr>
                <w:sz w:val="24"/>
                <w:szCs w:val="24"/>
                <w:color w:val="auto"/>
              </w:rPr>
            </w:pPr>
          </w:p>
        </w:tc>
        <w:tc>
          <w:tcPr>
            <w:tcW w:w="7460" w:type="dxa"/>
            <w:vAlign w:val="bottom"/>
            <w:gridSpan w:val="8"/>
          </w:tcPr>
          <w:p>
            <w:pPr>
              <w:ind w:left="1280"/>
              <w:spacing w:after="0"/>
              <w:rPr>
                <w:sz w:val="20"/>
                <w:szCs w:val="20"/>
                <w:color w:val="auto"/>
              </w:rPr>
            </w:pPr>
            <w:r>
              <w:rPr>
                <w:rFonts w:ascii="Arial" w:cs="Arial" w:eastAsia="Arial" w:hAnsi="Arial"/>
                <w:sz w:val="18"/>
                <w:szCs w:val="18"/>
                <w:b w:val="1"/>
                <w:bCs w:val="1"/>
                <w:color w:val="auto"/>
                <w:w w:val="89"/>
              </w:rPr>
              <w:t>Reconciliation of Adjusted Net Income and Adjusted Diluted Earnings Per Share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6020" w:type="dxa"/>
            <w:vAlign w:val="bottom"/>
            <w:gridSpan w:val="3"/>
          </w:tcPr>
          <w:p>
            <w:pPr>
              <w:ind w:left="2680"/>
              <w:spacing w:after="0"/>
              <w:rPr>
                <w:sz w:val="20"/>
                <w:szCs w:val="20"/>
                <w:color w:val="auto"/>
              </w:rPr>
            </w:pPr>
            <w:r>
              <w:rPr>
                <w:rFonts w:ascii="Arial" w:cs="Arial" w:eastAsia="Arial" w:hAnsi="Arial"/>
                <w:sz w:val="18"/>
                <w:szCs w:val="18"/>
                <w:color w:val="auto"/>
                <w:w w:val="88"/>
              </w:rPr>
              <w:t>(Amounts in thousands, except per share data)</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340"/>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4"/>
          </w:tcPr>
          <w:p>
            <w:pPr>
              <w:ind w:left="6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24"/>
                <w:szCs w:val="24"/>
                <w:color w:val="auto"/>
              </w:rPr>
            </w:pPr>
          </w:p>
        </w:tc>
        <w:tc>
          <w:tcPr>
            <w:tcW w:w="110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0"/>
              </w:rPr>
              <w:t>Quarter Ended</w:t>
            </w:r>
          </w:p>
        </w:tc>
      </w:t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5"/>
          </w:tcPr>
          <w:p>
            <w:pPr>
              <w:ind w:left="8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5"/>
              </w:rPr>
              <w:t>March 31,</w:t>
            </w:r>
          </w:p>
        </w:tc>
      </w:tr>
      <w:tr>
        <w:trPr>
          <w:trHeight w:val="142"/>
        </w:trPr>
        <w:tc>
          <w:tcPr>
            <w:tcW w:w="20" w:type="dxa"/>
            <w:vAlign w:val="bottom"/>
          </w:tcPr>
          <w:p>
            <w:pPr>
              <w:spacing w:after="0"/>
              <w:rPr>
                <w:sz w:val="12"/>
                <w:szCs w:val="12"/>
                <w:color w:val="auto"/>
              </w:rPr>
            </w:pPr>
          </w:p>
        </w:tc>
        <w:tc>
          <w:tcPr>
            <w:tcW w:w="546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Borders>
              <w:top w:val="single" w:sz="8" w:color="auto"/>
              <w:bottom w:val="single" w:sz="8" w:color="auto"/>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2011</w:t>
            </w:r>
          </w:p>
        </w:tc>
        <w:tc>
          <w:tcPr>
            <w:tcW w:w="8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(GAAP)</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28,746</w:t>
            </w:r>
          </w:p>
        </w:tc>
        <w:tc>
          <w:tcPr>
            <w:tcW w:w="5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10,113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420"/>
              <w:spacing w:after="0"/>
              <w:rPr>
                <w:sz w:val="20"/>
                <w:szCs w:val="20"/>
                <w:color w:val="auto"/>
              </w:rPr>
            </w:pPr>
            <w:r>
              <w:rPr>
                <w:rFonts w:ascii="Arial" w:cs="Arial" w:eastAsia="Arial" w:hAnsi="Arial"/>
                <w:sz w:val="18"/>
                <w:szCs w:val="18"/>
                <w:color w:val="auto"/>
              </w:rPr>
              <w:t>add: Stock-based compensation expense</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8,815</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2,328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 Amortization of acquisition-related intangibles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5,337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420"/>
              <w:spacing w:after="0"/>
              <w:rPr>
                <w:sz w:val="20"/>
                <w:szCs w:val="20"/>
                <w:color w:val="auto"/>
              </w:rPr>
            </w:pPr>
            <w:r>
              <w:rPr>
                <w:rFonts w:ascii="Arial" w:cs="Arial" w:eastAsia="Arial" w:hAnsi="Arial"/>
                <w:sz w:val="18"/>
                <w:szCs w:val="18"/>
                <w:color w:val="auto"/>
              </w:rPr>
              <w:t>sub: Tax impact on stock-based compensation expense</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500"/>
              <w:spacing w:after="0"/>
              <w:rPr>
                <w:sz w:val="20"/>
                <w:szCs w:val="20"/>
                <w:color w:val="auto"/>
              </w:rPr>
            </w:pPr>
            <w:r>
              <w:rPr>
                <w:rFonts w:ascii="Arial" w:cs="Arial" w:eastAsia="Arial" w:hAnsi="Arial"/>
                <w:sz w:val="18"/>
                <w:szCs w:val="18"/>
                <w:color w:val="auto"/>
              </w:rPr>
              <w:t>(3,716)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(985)</w:t>
            </w: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7"/>
              </w:rPr>
              <w:t>sub: Tax impact on amortization of acquisition-related intangibles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(625)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(206)</w:t>
            </w:r>
          </w:p>
        </w:tc>
      </w:tr>
      <w:tr>
        <w:trPr>
          <w:trHeight w:val="223"/>
        </w:trPr>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Adjusted net income</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38,557</w:t>
            </w:r>
          </w:p>
        </w:tc>
        <w:tc>
          <w:tcPr>
            <w:tcW w:w="56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12,714</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diluted earnings per share</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w w:val="9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1.27</w:t>
            </w:r>
          </w:p>
        </w:tc>
        <w:tc>
          <w:tcPr>
            <w:tcW w:w="5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0.41</w:t>
            </w:r>
          </w:p>
        </w:tc>
        <w:tc>
          <w:tcPr>
            <w:tcW w:w="120" w:type="dxa"/>
            <w:vAlign w:val="bottom"/>
            <w:shd w:val="clear" w:color="auto" w:fill="CCEEFF"/>
          </w:tcPr>
          <w:p>
            <w:pPr>
              <w:spacing w:after="0"/>
              <w:rPr>
                <w:sz w:val="18"/>
                <w:szCs w:val="18"/>
                <w:color w:val="auto"/>
              </w:rPr>
            </w:pPr>
          </w:p>
        </w:tc>
      </w:tr>
    </w:tbl>
    <w:p>
      <w:pPr>
        <w:sectPr>
          <w:pgSz w:w="11900" w:h="16838" w:orient="portrait"/>
          <w:cols w:equalWidth="0" w:num="1">
            <w:col w:w="11420"/>
          </w:cols>
          <w:pgMar w:left="240" w:top="125" w:right="2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840" w:type="dxa"/>
            <w:vAlign w:val="bottom"/>
          </w:tcPr>
          <w:p>
            <w:pPr>
              <w:spacing w:after="0"/>
              <w:rPr>
                <w:sz w:val="19"/>
                <w:szCs w:val="19"/>
                <w:color w:val="auto"/>
              </w:rPr>
            </w:pPr>
          </w:p>
        </w:tc>
        <w:tc>
          <w:tcPr>
            <w:tcW w:w="1580" w:type="dxa"/>
            <w:vAlign w:val="bottom"/>
            <w:gridSpan w:val="2"/>
          </w:tcPr>
          <w:p>
            <w:pPr>
              <w:ind w:left="680"/>
              <w:spacing w:after="0"/>
              <w:rPr>
                <w:sz w:val="20"/>
                <w:szCs w:val="20"/>
                <w:color w:val="auto"/>
              </w:rPr>
            </w:pPr>
            <w:r>
              <w:rPr>
                <w:rFonts w:ascii="Arial" w:cs="Arial" w:eastAsia="Arial" w:hAnsi="Arial"/>
                <w:sz w:val="18"/>
                <w:szCs w:val="18"/>
                <w:b w:val="1"/>
                <w:bCs w:val="1"/>
                <w:color w:val="auto"/>
                <w:w w:val="87"/>
              </w:rPr>
              <w:t>Exhibit 99.2</w:t>
            </w:r>
          </w:p>
        </w:tc>
      </w:tr>
      <w:tr>
        <w:trPr>
          <w:trHeight w:val="378"/>
        </w:trPr>
        <w:tc>
          <w:tcPr>
            <w:tcW w:w="9840" w:type="dxa"/>
            <w:vAlign w:val="bottom"/>
          </w:tcPr>
          <w:p>
            <w:pPr>
              <w:ind w:left="2260"/>
              <w:spacing w:after="0"/>
              <w:rPr>
                <w:sz w:val="20"/>
                <w:szCs w:val="20"/>
                <w:color w:val="auto"/>
              </w:rPr>
            </w:pPr>
            <w:r>
              <w:rPr>
                <w:rFonts w:ascii="Arial" w:cs="Arial" w:eastAsia="Arial" w:hAnsi="Arial"/>
                <w:sz w:val="18"/>
                <w:szCs w:val="18"/>
                <w:b w:val="1"/>
                <w:bCs w:val="1"/>
                <w:color w:val="auto"/>
                <w:w w:val="96"/>
              </w:rPr>
              <w:t>Consolidated Financial Statements and Report of Independent Certified Public Accountants</w:t>
            </w: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459"/>
        </w:trPr>
        <w:tc>
          <w:tcPr>
            <w:tcW w:w="9840" w:type="dxa"/>
            <w:vAlign w:val="bottom"/>
          </w:tcPr>
          <w:p>
            <w:pPr>
              <w:spacing w:after="0"/>
              <w:rPr>
                <w:sz w:val="20"/>
                <w:szCs w:val="20"/>
                <w:color w:val="auto"/>
              </w:rPr>
            </w:pPr>
            <w:r>
              <w:rPr>
                <w:rFonts w:ascii="Arial" w:cs="Arial" w:eastAsia="Arial" w:hAnsi="Arial"/>
                <w:sz w:val="18"/>
                <w:szCs w:val="18"/>
                <w:b w:val="1"/>
                <w:bCs w:val="1"/>
                <w:color w:val="auto"/>
              </w:rPr>
              <w:t>Business Process Outsourcing, Inc. and Subsidiaries</w:t>
            </w: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53"/>
        </w:trPr>
        <w:tc>
          <w:tcPr>
            <w:tcW w:w="9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Page</w:t>
            </w:r>
          </w:p>
        </w:tc>
      </w:tr>
      <w:tr>
        <w:trPr>
          <w:trHeight w:val="302"/>
        </w:trPr>
        <w:tc>
          <w:tcPr>
            <w:tcW w:w="9840" w:type="dxa"/>
            <w:vAlign w:val="bottom"/>
          </w:tcPr>
          <w:p>
            <w:pPr>
              <w:spacing w:after="0"/>
              <w:rPr>
                <w:sz w:val="20"/>
                <w:szCs w:val="20"/>
                <w:color w:val="auto"/>
              </w:rPr>
            </w:pPr>
            <w:r>
              <w:rPr>
                <w:rFonts w:ascii="Arial" w:cs="Arial" w:eastAsia="Arial" w:hAnsi="Arial"/>
                <w:sz w:val="18"/>
                <w:szCs w:val="18"/>
                <w:color w:val="auto"/>
              </w:rPr>
              <w:t>•  Report of Independent Auditor</w:t>
            </w:r>
          </w:p>
        </w:tc>
        <w:tc>
          <w:tcPr>
            <w:tcW w:w="1580" w:type="dxa"/>
            <w:vAlign w:val="bottom"/>
            <w:gridSpan w:val="2"/>
          </w:tcPr>
          <w:p>
            <w:pPr>
              <w:jc w:val="center"/>
              <w:ind w:left="1212"/>
              <w:spacing w:after="0"/>
              <w:rPr>
                <w:sz w:val="20"/>
                <w:szCs w:val="20"/>
                <w:color w:val="auto"/>
              </w:rPr>
            </w:pPr>
            <w:r>
              <w:rPr>
                <w:rFonts w:ascii="Arial" w:cs="Arial" w:eastAsia="Arial" w:hAnsi="Arial"/>
                <w:sz w:val="18"/>
                <w:szCs w:val="18"/>
                <w:color w:val="auto"/>
                <w:w w:val="79"/>
              </w:rPr>
              <w:t>2</w:t>
            </w:r>
          </w:p>
        </w:tc>
      </w:tr>
      <w:tr>
        <w:trPr>
          <w:trHeight w:val="324"/>
        </w:trPr>
        <w:tc>
          <w:tcPr>
            <w:tcW w:w="9840" w:type="dxa"/>
            <w:vAlign w:val="bottom"/>
          </w:tcPr>
          <w:p>
            <w:pPr>
              <w:spacing w:after="0"/>
              <w:rPr>
                <w:sz w:val="20"/>
                <w:szCs w:val="20"/>
                <w:color w:val="auto"/>
              </w:rPr>
            </w:pPr>
            <w:r>
              <w:rPr>
                <w:rFonts w:ascii="Arial" w:cs="Arial" w:eastAsia="Arial" w:hAnsi="Arial"/>
                <w:sz w:val="18"/>
                <w:szCs w:val="18"/>
                <w:color w:val="auto"/>
              </w:rPr>
              <w:t>•  Consolidated Balance Sheets as of December 31, 2010 and 2009</w:t>
            </w:r>
          </w:p>
        </w:tc>
        <w:tc>
          <w:tcPr>
            <w:tcW w:w="1580" w:type="dxa"/>
            <w:vAlign w:val="bottom"/>
            <w:gridSpan w:val="2"/>
          </w:tcPr>
          <w:p>
            <w:pPr>
              <w:jc w:val="center"/>
              <w:ind w:left="1212"/>
              <w:spacing w:after="0"/>
              <w:rPr>
                <w:sz w:val="20"/>
                <w:szCs w:val="20"/>
                <w:color w:val="auto"/>
              </w:rPr>
            </w:pPr>
            <w:r>
              <w:rPr>
                <w:rFonts w:ascii="Arial" w:cs="Arial" w:eastAsia="Arial" w:hAnsi="Arial"/>
                <w:sz w:val="18"/>
                <w:szCs w:val="18"/>
                <w:color w:val="auto"/>
                <w:w w:val="79"/>
              </w:rPr>
              <w:t>3</w:t>
            </w:r>
          </w:p>
        </w:tc>
      </w:tr>
      <w:tr>
        <w:trPr>
          <w:trHeight w:val="324"/>
        </w:trPr>
        <w:tc>
          <w:tcPr>
            <w:tcW w:w="9840" w:type="dxa"/>
            <w:vAlign w:val="bottom"/>
          </w:tcPr>
          <w:p>
            <w:pPr>
              <w:spacing w:after="0"/>
              <w:rPr>
                <w:sz w:val="20"/>
                <w:szCs w:val="20"/>
                <w:color w:val="auto"/>
              </w:rPr>
            </w:pPr>
            <w:r>
              <w:rPr>
                <w:rFonts w:ascii="Arial" w:cs="Arial" w:eastAsia="Arial" w:hAnsi="Arial"/>
                <w:sz w:val="18"/>
                <w:szCs w:val="18"/>
                <w:color w:val="auto"/>
              </w:rPr>
              <w:t>•  Consolidated Statements of Operations for the years ended December 31, 2010, 2009 and 2008</w:t>
            </w:r>
          </w:p>
        </w:tc>
        <w:tc>
          <w:tcPr>
            <w:tcW w:w="1580" w:type="dxa"/>
            <w:vAlign w:val="bottom"/>
            <w:gridSpan w:val="2"/>
          </w:tcPr>
          <w:p>
            <w:pPr>
              <w:jc w:val="center"/>
              <w:ind w:left="1212"/>
              <w:spacing w:after="0"/>
              <w:rPr>
                <w:sz w:val="20"/>
                <w:szCs w:val="20"/>
                <w:color w:val="auto"/>
              </w:rPr>
            </w:pPr>
            <w:r>
              <w:rPr>
                <w:rFonts w:ascii="Arial" w:cs="Arial" w:eastAsia="Arial" w:hAnsi="Arial"/>
                <w:sz w:val="18"/>
                <w:szCs w:val="18"/>
                <w:color w:val="auto"/>
                <w:w w:val="79"/>
              </w:rPr>
              <w:t>4</w:t>
            </w:r>
          </w:p>
        </w:tc>
      </w:tr>
      <w:tr>
        <w:trPr>
          <w:trHeight w:val="324"/>
        </w:trPr>
        <w:tc>
          <w:tcPr>
            <w:tcW w:w="9840" w:type="dxa"/>
            <w:vAlign w:val="bottom"/>
          </w:tcPr>
          <w:p>
            <w:pPr>
              <w:spacing w:after="0"/>
              <w:rPr>
                <w:sz w:val="20"/>
                <w:szCs w:val="20"/>
                <w:color w:val="auto"/>
              </w:rPr>
            </w:pPr>
            <w:r>
              <w:rPr>
                <w:rFonts w:ascii="Arial" w:cs="Arial" w:eastAsia="Arial" w:hAnsi="Arial"/>
                <w:sz w:val="18"/>
                <w:szCs w:val="18"/>
                <w:color w:val="auto"/>
              </w:rPr>
              <w:t>•  Consolidated Statements of Stockholders’ Equity for the years ended December 31, 2010, 2009 and 2008</w:t>
            </w:r>
          </w:p>
        </w:tc>
        <w:tc>
          <w:tcPr>
            <w:tcW w:w="1580" w:type="dxa"/>
            <w:vAlign w:val="bottom"/>
            <w:gridSpan w:val="2"/>
          </w:tcPr>
          <w:p>
            <w:pPr>
              <w:jc w:val="center"/>
              <w:ind w:left="1212"/>
              <w:spacing w:after="0"/>
              <w:rPr>
                <w:sz w:val="20"/>
                <w:szCs w:val="20"/>
                <w:color w:val="auto"/>
              </w:rPr>
            </w:pPr>
            <w:r>
              <w:rPr>
                <w:rFonts w:ascii="Arial" w:cs="Arial" w:eastAsia="Arial" w:hAnsi="Arial"/>
                <w:sz w:val="18"/>
                <w:szCs w:val="18"/>
                <w:color w:val="auto"/>
                <w:w w:val="79"/>
              </w:rPr>
              <w:t>5</w:t>
            </w:r>
          </w:p>
        </w:tc>
      </w:tr>
      <w:tr>
        <w:trPr>
          <w:trHeight w:val="324"/>
        </w:trPr>
        <w:tc>
          <w:tcPr>
            <w:tcW w:w="9840" w:type="dxa"/>
            <w:vAlign w:val="bottom"/>
          </w:tcPr>
          <w:p>
            <w:pPr>
              <w:spacing w:after="0"/>
              <w:rPr>
                <w:sz w:val="20"/>
                <w:szCs w:val="20"/>
                <w:color w:val="auto"/>
              </w:rPr>
            </w:pPr>
            <w:r>
              <w:rPr>
                <w:rFonts w:ascii="Arial" w:cs="Arial" w:eastAsia="Arial" w:hAnsi="Arial"/>
                <w:sz w:val="18"/>
                <w:szCs w:val="18"/>
                <w:color w:val="auto"/>
              </w:rPr>
              <w:t>•  Condensed Statements of Cash Flows for the years ended December 31, 2010, 2009 and 2008</w:t>
            </w:r>
          </w:p>
        </w:tc>
        <w:tc>
          <w:tcPr>
            <w:tcW w:w="1580" w:type="dxa"/>
            <w:vAlign w:val="bottom"/>
            <w:gridSpan w:val="2"/>
          </w:tcPr>
          <w:p>
            <w:pPr>
              <w:jc w:val="center"/>
              <w:ind w:left="1212"/>
              <w:spacing w:after="0"/>
              <w:rPr>
                <w:sz w:val="20"/>
                <w:szCs w:val="20"/>
                <w:color w:val="auto"/>
              </w:rPr>
            </w:pPr>
            <w:r>
              <w:rPr>
                <w:rFonts w:ascii="Arial" w:cs="Arial" w:eastAsia="Arial" w:hAnsi="Arial"/>
                <w:sz w:val="18"/>
                <w:szCs w:val="18"/>
                <w:color w:val="auto"/>
                <w:w w:val="79"/>
              </w:rPr>
              <w:t>6</w:t>
            </w:r>
          </w:p>
        </w:tc>
      </w:tr>
      <w:tr>
        <w:trPr>
          <w:trHeight w:val="324"/>
        </w:trPr>
        <w:tc>
          <w:tcPr>
            <w:tcW w:w="9840" w:type="dxa"/>
            <w:vAlign w:val="bottom"/>
          </w:tcPr>
          <w:p>
            <w:pPr>
              <w:spacing w:after="0"/>
              <w:rPr>
                <w:sz w:val="20"/>
                <w:szCs w:val="20"/>
                <w:color w:val="auto"/>
              </w:rPr>
            </w:pPr>
            <w:r>
              <w:rPr>
                <w:rFonts w:ascii="Arial" w:cs="Arial" w:eastAsia="Arial" w:hAnsi="Arial"/>
                <w:sz w:val="18"/>
                <w:szCs w:val="18"/>
                <w:color w:val="auto"/>
              </w:rPr>
              <w:t>•  Notes to Consolidated Financial Statements</w:t>
            </w:r>
          </w:p>
        </w:tc>
        <w:tc>
          <w:tcPr>
            <w:tcW w:w="1580" w:type="dxa"/>
            <w:vAlign w:val="bottom"/>
            <w:gridSpan w:val="2"/>
          </w:tcPr>
          <w:p>
            <w:pPr>
              <w:jc w:val="center"/>
              <w:ind w:left="1212"/>
              <w:spacing w:after="0"/>
              <w:rPr>
                <w:sz w:val="20"/>
                <w:szCs w:val="20"/>
                <w:color w:val="auto"/>
              </w:rPr>
            </w:pPr>
            <w:r>
              <w:rPr>
                <w:rFonts w:ascii="Arial" w:cs="Arial" w:eastAsia="Arial" w:hAnsi="Arial"/>
                <w:sz w:val="18"/>
                <w:szCs w:val="18"/>
                <w:color w:val="auto"/>
                <w:w w:val="79"/>
              </w:rPr>
              <w:t>7</w:t>
            </w:r>
          </w:p>
        </w:tc>
      </w:tr>
    </w:tbl>
    <w:p>
      <w:pPr>
        <w:sectPr>
          <w:pgSz w:w="11900" w:h="16838" w:orient="portrait"/>
          <w:cols w:equalWidth="0" w:num="1">
            <w:col w:w="11420"/>
          </w:cols>
          <w:pgMar w:left="240" w:top="125" w:right="239" w:bottom="1440" w:gutter="0" w:footer="0" w:header="0"/>
        </w:sectPr>
      </w:pPr>
    </w:p>
    <w:bookmarkStart w:id="7" w:name="page8"/>
    <w:bookmarkEnd w:id="7"/>
    <w:p>
      <w:pPr>
        <w:ind w:left="87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Ernst &amp;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3790315" cy="9950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790315" cy="995045"/>
                    </a:xfrm>
                    <a:prstGeom prst="rect">
                      <a:avLst/>
                    </a:prstGeom>
                    <a:noFill/>
                  </pic:spPr>
                </pic:pic>
              </a:graphicData>
            </a:graphic>
          </wp:anchor>
        </w:drawing>
      </w:r>
    </w:p>
    <w:p>
      <w:pPr>
        <w:spacing w:after="0" w:line="1" w:lineRule="exact"/>
        <w:rPr>
          <w:sz w:val="20"/>
          <w:szCs w:val="20"/>
          <w:color w:val="auto"/>
        </w:rPr>
      </w:pPr>
    </w:p>
    <w:p>
      <w:pPr>
        <w:ind w:left="8700"/>
        <w:spacing w:after="0"/>
        <w:rPr>
          <w:sz w:val="20"/>
          <w:szCs w:val="20"/>
          <w:color w:val="auto"/>
        </w:rPr>
      </w:pPr>
      <w:r>
        <w:rPr>
          <w:rFonts w:ascii="Arial" w:cs="Arial" w:eastAsia="Arial" w:hAnsi="Arial"/>
          <w:sz w:val="18"/>
          <w:szCs w:val="18"/>
          <w:color w:val="auto"/>
        </w:rPr>
        <w:t>Golf View Corporate Tower-B</w:t>
      </w:r>
    </w:p>
    <w:p>
      <w:pPr>
        <w:spacing w:after="0" w:line="9" w:lineRule="exact"/>
        <w:rPr>
          <w:sz w:val="20"/>
          <w:szCs w:val="20"/>
          <w:color w:val="auto"/>
        </w:rPr>
      </w:pPr>
    </w:p>
    <w:p>
      <w:pPr>
        <w:ind w:left="8700"/>
        <w:spacing w:after="0"/>
        <w:rPr>
          <w:sz w:val="20"/>
          <w:szCs w:val="20"/>
          <w:color w:val="auto"/>
        </w:rPr>
      </w:pPr>
      <w:r>
        <w:rPr>
          <w:rFonts w:ascii="Arial" w:cs="Arial" w:eastAsia="Arial" w:hAnsi="Arial"/>
          <w:sz w:val="18"/>
          <w:szCs w:val="18"/>
          <w:color w:val="auto"/>
        </w:rPr>
        <w:t>Sector 42, Sector Road</w:t>
      </w:r>
    </w:p>
    <w:p>
      <w:pPr>
        <w:spacing w:after="0" w:line="9" w:lineRule="exact"/>
        <w:rPr>
          <w:sz w:val="20"/>
          <w:szCs w:val="20"/>
          <w:color w:val="auto"/>
        </w:rPr>
      </w:pPr>
    </w:p>
    <w:p>
      <w:pPr>
        <w:ind w:left="8700"/>
        <w:spacing w:after="0"/>
        <w:rPr>
          <w:sz w:val="20"/>
          <w:szCs w:val="20"/>
          <w:color w:val="auto"/>
        </w:rPr>
      </w:pPr>
      <w:r>
        <w:rPr>
          <w:rFonts w:ascii="Arial" w:cs="Arial" w:eastAsia="Arial" w:hAnsi="Arial"/>
          <w:sz w:val="18"/>
          <w:szCs w:val="18"/>
          <w:color w:val="auto"/>
        </w:rPr>
        <w:t>Gurgaon-122002, Haryana, India</w:t>
      </w:r>
    </w:p>
    <w:p>
      <w:pPr>
        <w:spacing w:after="0" w:line="84" w:lineRule="exact"/>
        <w:rPr>
          <w:sz w:val="20"/>
          <w:szCs w:val="20"/>
          <w:color w:val="auto"/>
        </w:rPr>
      </w:pPr>
    </w:p>
    <w:p>
      <w:pPr>
        <w:ind w:left="8700"/>
        <w:spacing w:after="0"/>
        <w:rPr>
          <w:sz w:val="20"/>
          <w:szCs w:val="20"/>
          <w:color w:val="auto"/>
        </w:rPr>
      </w:pPr>
      <w:r>
        <w:rPr>
          <w:rFonts w:ascii="Arial" w:cs="Arial" w:eastAsia="Arial" w:hAnsi="Arial"/>
          <w:sz w:val="18"/>
          <w:szCs w:val="18"/>
          <w:color w:val="auto"/>
        </w:rPr>
        <w:t>Tel: +91 124 464 4000</w:t>
      </w:r>
    </w:p>
    <w:p>
      <w:pPr>
        <w:spacing w:after="0" w:line="15" w:lineRule="exact"/>
        <w:rPr>
          <w:sz w:val="20"/>
          <w:szCs w:val="20"/>
          <w:color w:val="auto"/>
        </w:rPr>
      </w:pPr>
    </w:p>
    <w:p>
      <w:pPr>
        <w:ind w:left="8700"/>
        <w:spacing w:after="0"/>
        <w:rPr>
          <w:sz w:val="20"/>
          <w:szCs w:val="20"/>
          <w:color w:val="auto"/>
        </w:rPr>
      </w:pPr>
      <w:r>
        <w:rPr>
          <w:rFonts w:ascii="Arial" w:cs="Arial" w:eastAsia="Arial" w:hAnsi="Arial"/>
          <w:sz w:val="18"/>
          <w:szCs w:val="18"/>
          <w:color w:val="auto"/>
        </w:rPr>
        <w:t>Fax: +91 124 464 4050</w:t>
      </w:r>
    </w:p>
    <w:p>
      <w:pPr>
        <w:spacing w:after="0" w:line="9" w:lineRule="exact"/>
        <w:rPr>
          <w:sz w:val="20"/>
          <w:szCs w:val="20"/>
          <w:color w:val="auto"/>
        </w:rPr>
      </w:pPr>
    </w:p>
    <w:p>
      <w:pPr>
        <w:ind w:left="8700"/>
        <w:spacing w:after="0"/>
        <w:rPr>
          <w:sz w:val="20"/>
          <w:szCs w:val="20"/>
          <w:color w:val="auto"/>
        </w:rPr>
      </w:pPr>
      <w:r>
        <w:rPr>
          <w:rFonts w:ascii="Arial" w:cs="Arial" w:eastAsia="Arial" w:hAnsi="Arial"/>
          <w:sz w:val="18"/>
          <w:szCs w:val="18"/>
          <w:u w:val="single" w:color="auto"/>
          <w:color w:val="auto"/>
        </w:rPr>
        <w:t>www.ey.com/india</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Report of Independent Auditor</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Business Process Outsourcing, Inc.</w:t>
      </w:r>
    </w:p>
    <w:p>
      <w:pPr>
        <w:spacing w:after="0" w:line="165"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We have audited the accompanying consolidated balance sheets of Business Process Outsourcing, Inc. and subsidiaries (the “Company”) as of December 31, 2010 and 2009, and the related consolidated statements of operations, stockholders’ equity and cash flows for each of the three years in the period ended December 31, 2010. These financial statements are the responsibility of the Company’s management. Our responsibility is to express an opinion on these financial statements based on our audits.</w:t>
      </w:r>
    </w:p>
    <w:p>
      <w:pPr>
        <w:spacing w:after="0" w:line="14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18"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Business Process Outsourcing, Inc. and subsidiaries as at December 31, 2010 and 2009, and the consolidated results of their operations and their cash flows for each of the three years in the period ended December 31, 2010, in conformity with U.S. generally accepted accounting principles.</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Bangalore, India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11,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except for Note 16, as to which the date is August 1, 2011</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BUSINESS PROCESS OUTSOURCING,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(Dollars in thousands, except per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6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2010</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13,791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50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 of allowance for doubtful accounts of $ 0 in 2010 and $30 in 2009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3,169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Accounts receivable from related parties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951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Unbilled receivable, includes unbilled to related parties of $0 in 2010 and $56 in 2009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920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Notes receivable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4,341</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24,465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17,362</w:t>
            </w:r>
          </w:p>
        </w:tc>
        <w:tc>
          <w:tcPr>
            <w:tcW w:w="0" w:type="dxa"/>
            <w:vAlign w:val="bottom"/>
          </w:tcPr>
          <w:p>
            <w:pPr>
              <w:spacing w:after="0"/>
              <w:rPr>
                <w:sz w:val="1"/>
                <w:szCs w:val="1"/>
                <w:color w:val="auto"/>
              </w:rPr>
            </w:pPr>
          </w:p>
        </w:tc>
      </w:tr>
      <w:tr>
        <w:trPr>
          <w:trHeight w:val="330"/>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Non-current assets:</w:t>
            </w: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Security deposits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3,874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10,074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1,976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580</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17,316</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18,037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98"/>
              </w:rPr>
              <w:t>41,781</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35,399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Accrued employee costs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4,945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3,509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Short-term borrowing</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429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capital lease obligations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2,448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Deferred revenue and payments in advance</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1,226</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13,007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12,659</w:t>
            </w:r>
          </w:p>
        </w:tc>
        <w:tc>
          <w:tcPr>
            <w:tcW w:w="0" w:type="dxa"/>
            <w:vAlign w:val="bottom"/>
          </w:tcPr>
          <w:p>
            <w:pPr>
              <w:spacing w:after="0"/>
              <w:rPr>
                <w:sz w:val="1"/>
                <w:szCs w:val="1"/>
                <w:color w:val="auto"/>
              </w:rPr>
            </w:pPr>
          </w:p>
        </w:tc>
      </w:tr>
      <w:tr>
        <w:trPr>
          <w:trHeight w:val="330"/>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Non-current liabilities:</w:t>
            </w: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lease obligations, less current portion</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6,190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2,593</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8,783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10,035</w:t>
            </w:r>
          </w:p>
        </w:tc>
        <w:tc>
          <w:tcPr>
            <w:tcW w:w="0" w:type="dxa"/>
            <w:vAlign w:val="bottom"/>
          </w:tcPr>
          <w:p>
            <w:pPr>
              <w:spacing w:after="0"/>
              <w:rPr>
                <w:sz w:val="1"/>
                <w:szCs w:val="1"/>
                <w:color w:val="auto"/>
              </w:rPr>
            </w:pPr>
          </w:p>
        </w:tc>
      </w:tr>
      <w:tr>
        <w:trPr>
          <w:trHeight w:val="329"/>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w:t>
            </w: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w w:val="96"/>
              </w:rPr>
              <w:t>Series A convertible preferred stock, $0.001 par value, 1,600,000 shares authorized, issued and outstanding (liquidation</w:t>
            </w:r>
          </w:p>
        </w:tc>
        <w:tc>
          <w:tcPr>
            <w:tcW w:w="100" w:type="dxa"/>
            <w:vAlign w:val="bottom"/>
          </w:tcPr>
          <w:p>
            <w:pPr>
              <w:spacing w:after="0"/>
              <w:rPr>
                <w:sz w:val="18"/>
                <w:szCs w:val="18"/>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80" w:type="dxa"/>
            <w:vAlign w:val="bottom"/>
          </w:tcPr>
          <w:p>
            <w:pPr>
              <w:ind w:left="640"/>
              <w:spacing w:after="0"/>
              <w:rPr>
                <w:sz w:val="20"/>
                <w:szCs w:val="20"/>
                <w:color w:val="auto"/>
              </w:rPr>
            </w:pPr>
            <w:r>
              <w:rPr>
                <w:rFonts w:ascii="Arial" w:cs="Arial" w:eastAsia="Arial" w:hAnsi="Arial"/>
                <w:sz w:val="18"/>
                <w:szCs w:val="18"/>
                <w:color w:val="auto"/>
              </w:rPr>
              <w:t>preference $3,700)</w:t>
            </w:r>
          </w:p>
        </w:tc>
        <w:tc>
          <w:tcPr>
            <w:tcW w:w="10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0"/>
              </w:rPr>
              <w:t>Series B convertible preferred stock, $0.001 par value, 10,000,000 shares authorized; 9,340,000 shares issued and outstanding</w:t>
            </w:r>
          </w:p>
        </w:tc>
        <w:tc>
          <w:tcPr>
            <w:tcW w:w="100" w:type="dxa"/>
            <w:vAlign w:val="bottom"/>
            <w:shd w:val="clear" w:color="auto" w:fill="CCEEFF"/>
          </w:tcPr>
          <w:p>
            <w:pPr>
              <w:spacing w:after="0"/>
              <w:rPr>
                <w:sz w:val="18"/>
                <w:szCs w:val="18"/>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6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(liquidation preference $24,183)</w:t>
            </w:r>
          </w:p>
        </w:tc>
        <w:tc>
          <w:tcPr>
            <w:tcW w:w="100" w:type="dxa"/>
            <w:vAlign w:val="bottom"/>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w w:val="91"/>
              </w:rPr>
              <w:t>Common stock, $0.001 par value, 38,400,000 shares authorized; 10,370,897 and 10,234,797 shares issued and outstanding in</w:t>
            </w:r>
          </w:p>
        </w:tc>
        <w:tc>
          <w:tcPr>
            <w:tcW w:w="100" w:type="dxa"/>
            <w:vAlign w:val="bottom"/>
          </w:tcPr>
          <w:p>
            <w:pPr>
              <w:spacing w:after="0"/>
              <w:rPr>
                <w:sz w:val="18"/>
                <w:szCs w:val="18"/>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80" w:type="dxa"/>
            <w:vAlign w:val="bottom"/>
          </w:tcPr>
          <w:p>
            <w:pPr>
              <w:ind w:left="640"/>
              <w:spacing w:after="0"/>
              <w:rPr>
                <w:sz w:val="20"/>
                <w:szCs w:val="20"/>
                <w:color w:val="auto"/>
              </w:rPr>
            </w:pPr>
            <w:r>
              <w:rPr>
                <w:rFonts w:ascii="Arial" w:cs="Arial" w:eastAsia="Arial" w:hAnsi="Arial"/>
                <w:sz w:val="18"/>
                <w:szCs w:val="18"/>
                <w:color w:val="auto"/>
              </w:rPr>
              <w:t>2010 and 2009</w:t>
            </w:r>
          </w:p>
        </w:tc>
        <w:tc>
          <w:tcPr>
            <w:tcW w:w="10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31,674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30,969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9"/>
              </w:rPr>
              <w:t>(10,845)</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(17,114)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(859)</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(1,171)</w:t>
            </w:r>
          </w:p>
        </w:tc>
        <w:tc>
          <w:tcPr>
            <w:tcW w:w="0" w:type="dxa"/>
            <w:vAlign w:val="bottom"/>
          </w:tcPr>
          <w:p>
            <w:pPr>
              <w:spacing w:after="0"/>
              <w:rPr>
                <w:sz w:val="1"/>
                <w:szCs w:val="1"/>
                <w:color w:val="auto"/>
              </w:rPr>
            </w:pPr>
          </w:p>
        </w:tc>
      </w:tr>
      <w:tr>
        <w:trPr>
          <w:trHeight w:val="230"/>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Total stockholders’ equity</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19,991</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12,705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41,781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35,399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BUSINESS PROCESS OUTSOURCING,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(Dollars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8"/>
          </w:tcPr>
          <w:p>
            <w:pPr>
              <w:jc w:val="right"/>
              <w:ind w:right="5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40" w:type="dxa"/>
            <w:vAlign w:val="bottom"/>
            <w:tcBorders>
              <w:bottom w:val="single" w:sz="8" w:color="CCEEFF"/>
            </w:tcBorders>
          </w:tcPr>
          <w:p>
            <w:pPr>
              <w:spacing w:after="0"/>
              <w:rPr>
                <w:sz w:val="14"/>
                <w:szCs w:val="14"/>
                <w:color w:val="auto"/>
              </w:rPr>
            </w:pPr>
          </w:p>
        </w:tc>
        <w:tc>
          <w:tcPr>
            <w:tcW w:w="2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2010</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2009</w:t>
            </w:r>
          </w:p>
        </w:tc>
        <w:tc>
          <w:tcPr>
            <w:tcW w:w="3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2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420"/>
              <w:spacing w:after="0"/>
              <w:rPr>
                <w:sz w:val="20"/>
                <w:szCs w:val="20"/>
                <w:color w:val="auto"/>
              </w:rPr>
            </w:pPr>
            <w:r>
              <w:rPr>
                <w:rFonts w:ascii="Arial" w:cs="Arial" w:eastAsia="Arial" w:hAnsi="Arial"/>
                <w:sz w:val="18"/>
                <w:szCs w:val="18"/>
                <w:color w:val="auto"/>
              </w:rPr>
              <w:t>Revenue</w:t>
            </w:r>
          </w:p>
        </w:tc>
        <w:tc>
          <w:tcPr>
            <w:tcW w:w="25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3"/>
              </w:rPr>
              <w:t>69,828</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60,050</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60,980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Revenue from related parties</w:t>
            </w:r>
          </w:p>
        </w:tc>
        <w:tc>
          <w:tcPr>
            <w:tcW w:w="2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6,267</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6,259</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60" w:type="dxa"/>
            <w:vAlign w:val="bottom"/>
            <w:gridSpan w:val="2"/>
          </w:tcPr>
          <w:p>
            <w:pPr>
              <w:spacing w:after="0"/>
              <w:rPr>
                <w:sz w:val="20"/>
                <w:szCs w:val="20"/>
                <w:color w:val="auto"/>
              </w:rPr>
            </w:pPr>
            <w:r>
              <w:rPr>
                <w:rFonts w:ascii="Arial" w:cs="Arial" w:eastAsia="Arial" w:hAnsi="Arial"/>
                <w:sz w:val="18"/>
                <w:szCs w:val="18"/>
                <w:b w:val="1"/>
                <w:bCs w:val="1"/>
                <w:color w:val="auto"/>
              </w:rPr>
              <w:t>Total revenues</w:t>
            </w:r>
          </w:p>
        </w:tc>
        <w:tc>
          <w:tcPr>
            <w:tcW w:w="2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3"/>
              </w:rPr>
              <w:t>76,095</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66,309</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65,247</w:t>
            </w: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644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 (excluding depreciation &amp; amortization)</w:t>
            </w:r>
          </w:p>
        </w:tc>
        <w:tc>
          <w:tcPr>
            <w:tcW w:w="2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46,838</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40,800</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44,715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6460" w:type="dxa"/>
            <w:vAlign w:val="bottom"/>
            <w:gridSpan w:val="2"/>
          </w:tcPr>
          <w:p>
            <w:pPr>
              <w:spacing w:after="0"/>
              <w:rPr>
                <w:sz w:val="20"/>
                <w:szCs w:val="20"/>
                <w:color w:val="auto"/>
              </w:rPr>
            </w:pPr>
            <w:r>
              <w:rPr>
                <w:rFonts w:ascii="Arial" w:cs="Arial" w:eastAsia="Arial" w:hAnsi="Arial"/>
                <w:sz w:val="18"/>
                <w:szCs w:val="18"/>
                <w:b w:val="1"/>
                <w:bCs w:val="1"/>
                <w:color w:val="auto"/>
              </w:rPr>
              <w:t>Gross profit</w:t>
            </w:r>
          </w:p>
        </w:tc>
        <w:tc>
          <w:tcPr>
            <w:tcW w:w="2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3"/>
              </w:rPr>
              <w:t>29,257</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25,509</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20,532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420"/>
              <w:spacing w:after="0"/>
              <w:rPr>
                <w:sz w:val="20"/>
                <w:szCs w:val="20"/>
                <w:color w:val="auto"/>
              </w:rPr>
            </w:pPr>
            <w:r>
              <w:rPr>
                <w:rFonts w:ascii="Arial" w:cs="Arial" w:eastAsia="Arial" w:hAnsi="Arial"/>
                <w:sz w:val="18"/>
                <w:szCs w:val="18"/>
                <w:color w:val="auto"/>
              </w:rPr>
              <w:t>General and administrative expenses</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3"/>
              </w:rPr>
              <w:t>19,669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17,314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17,208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2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3,589</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3,564</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6460" w:type="dxa"/>
            <w:vAlign w:val="bottom"/>
            <w:gridSpan w:val="2"/>
          </w:tcPr>
          <w:p>
            <w:pPr>
              <w:spacing w:after="0"/>
              <w:rPr>
                <w:sz w:val="20"/>
                <w:szCs w:val="20"/>
                <w:color w:val="auto"/>
              </w:rPr>
            </w:pPr>
            <w:r>
              <w:rPr>
                <w:rFonts w:ascii="Arial" w:cs="Arial" w:eastAsia="Arial" w:hAnsi="Arial"/>
                <w:sz w:val="18"/>
                <w:szCs w:val="18"/>
                <w:b w:val="1"/>
                <w:bCs w:val="1"/>
                <w:color w:val="auto"/>
              </w:rPr>
              <w:t>Total operating expenses</w:t>
            </w:r>
          </w:p>
        </w:tc>
        <w:tc>
          <w:tcPr>
            <w:tcW w:w="2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3"/>
              </w:rPr>
              <w:t>23,258</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20,878</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20,555</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44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from operations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5,999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23"/>
        </w:trPr>
        <w:tc>
          <w:tcPr>
            <w:tcW w:w="646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w:t>
            </w:r>
          </w:p>
        </w:tc>
        <w:tc>
          <w:tcPr>
            <w:tcW w:w="2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(924)</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(955)</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116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1,284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420"/>
              <w:spacing w:after="0"/>
              <w:rPr>
                <w:sz w:val="20"/>
                <w:szCs w:val="20"/>
                <w:color w:val="auto"/>
              </w:rPr>
            </w:pPr>
            <w:r>
              <w:rPr>
                <w:rFonts w:ascii="Arial" w:cs="Arial" w:eastAsia="Arial" w:hAnsi="Arial"/>
                <w:sz w:val="18"/>
                <w:szCs w:val="18"/>
                <w:color w:val="auto"/>
              </w:rPr>
              <w:t>Foreign exchange gain</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245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707</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44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6,720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323"/>
        </w:trPr>
        <w:tc>
          <w:tcPr>
            <w:tcW w:w="646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2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(451)</w:t>
            </w:r>
          </w:p>
        </w:tc>
        <w:tc>
          <w:tcPr>
            <w:tcW w:w="100" w:type="dxa"/>
            <w:vAlign w:val="bottom"/>
          </w:tcPr>
          <w:p>
            <w:pPr>
              <w:spacing w:after="0"/>
              <w:rPr>
                <w:sz w:val="24"/>
                <w:szCs w:val="2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(416)</w:t>
            </w:r>
          </w:p>
        </w:tc>
        <w:tc>
          <w:tcPr>
            <w:tcW w:w="80" w:type="dxa"/>
            <w:vAlign w:val="bottom"/>
          </w:tcPr>
          <w:p>
            <w:pPr>
              <w:spacing w:after="0"/>
              <w:rPr>
                <w:sz w:val="24"/>
                <w:szCs w:val="2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44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6,269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BUSINESS PROCESS OUTSOURCING,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2010, 2009 and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 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6"/>
              </w:rPr>
              <w:t>Accumulated</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320" w:type="dxa"/>
            <w:vAlign w:val="bottom"/>
            <w:gridSpan w:val="4"/>
          </w:tcPr>
          <w:p>
            <w:pPr>
              <w:ind w:left="240"/>
              <w:spacing w:after="0" w:line="149" w:lineRule="exact"/>
              <w:rPr>
                <w:sz w:val="20"/>
                <w:szCs w:val="20"/>
                <w:color w:val="auto"/>
              </w:rPr>
            </w:pPr>
            <w:r>
              <w:rPr>
                <w:rFonts w:ascii="Arial" w:cs="Arial" w:eastAsia="Arial" w:hAnsi="Arial"/>
                <w:sz w:val="14"/>
                <w:szCs w:val="14"/>
                <w:b w:val="1"/>
                <w:bCs w:val="1"/>
                <w:color w:val="auto"/>
              </w:rPr>
              <w:t>Preferred Stock</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4"/>
          </w:tcPr>
          <w:p>
            <w:pPr>
              <w:ind w:left="260"/>
              <w:spacing w:after="0" w:line="149" w:lineRule="exact"/>
              <w:rPr>
                <w:sz w:val="20"/>
                <w:szCs w:val="20"/>
                <w:color w:val="auto"/>
              </w:rPr>
            </w:pPr>
            <w:r>
              <w:rPr>
                <w:rFonts w:ascii="Arial" w:cs="Arial" w:eastAsia="Arial" w:hAnsi="Arial"/>
                <w:sz w:val="14"/>
                <w:szCs w:val="14"/>
                <w:b w:val="1"/>
                <w:bCs w:val="1"/>
                <w:color w:val="auto"/>
              </w:rPr>
              <w:t>Preferred Stock</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Common</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Additional</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Other</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32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Series A</w:t>
            </w:r>
          </w:p>
        </w:tc>
        <w:tc>
          <w:tcPr>
            <w:tcW w:w="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Series B</w:t>
            </w:r>
          </w:p>
        </w:tc>
        <w:tc>
          <w:tcPr>
            <w:tcW w:w="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Stock</w:t>
            </w: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Paid–in</w:t>
            </w:r>
          </w:p>
        </w:tc>
        <w:tc>
          <w:tcPr>
            <w:tcW w:w="6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Comprehensive</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84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5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6"/>
              </w:rPr>
              <w:t>Amount</w:t>
            </w:r>
          </w:p>
        </w:tc>
        <w:tc>
          <w:tcPr>
            <w:tcW w:w="160" w:type="dxa"/>
            <w:vAlign w:val="bottom"/>
          </w:tcPr>
          <w:p>
            <w:pPr>
              <w:spacing w:after="0"/>
              <w:rPr>
                <w:sz w:val="12"/>
                <w:szCs w:val="12"/>
                <w:color w:val="auto"/>
              </w:rPr>
            </w:pPr>
          </w:p>
        </w:tc>
        <w:tc>
          <w:tcPr>
            <w:tcW w:w="860" w:type="dxa"/>
            <w:vAlign w:val="bottom"/>
            <w:gridSpan w:val="2"/>
          </w:tcPr>
          <w:p>
            <w:pPr>
              <w:ind w:left="20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4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6"/>
              </w:rPr>
              <w:t>Amount</w:t>
            </w:r>
          </w:p>
        </w:tc>
        <w:tc>
          <w:tcPr>
            <w:tcW w:w="180" w:type="dxa"/>
            <w:vAlign w:val="bottom"/>
          </w:tcPr>
          <w:p>
            <w:pPr>
              <w:spacing w:after="0"/>
              <w:rPr>
                <w:sz w:val="12"/>
                <w:szCs w:val="12"/>
                <w:color w:val="auto"/>
              </w:rPr>
            </w:pPr>
          </w:p>
        </w:tc>
        <w:tc>
          <w:tcPr>
            <w:tcW w:w="102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Shares</w:t>
            </w:r>
          </w:p>
        </w:tc>
        <w:tc>
          <w:tcPr>
            <w:tcW w:w="5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6"/>
              </w:rPr>
              <w:t>Amount</w:t>
            </w:r>
          </w:p>
        </w:tc>
        <w:tc>
          <w:tcPr>
            <w:tcW w:w="160" w:type="dxa"/>
            <w:vAlign w:val="bottom"/>
          </w:tcPr>
          <w:p>
            <w:pPr>
              <w:spacing w:after="0"/>
              <w:rPr>
                <w:sz w:val="12"/>
                <w:szCs w:val="12"/>
                <w:color w:val="auto"/>
              </w:rPr>
            </w:pPr>
          </w:p>
        </w:tc>
        <w:tc>
          <w:tcPr>
            <w:tcW w:w="74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4"/>
              </w:rPr>
              <w:t>Capital</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w w:val="98"/>
              </w:rPr>
              <w:t>Deficit</w:t>
            </w:r>
          </w:p>
        </w:tc>
        <w:tc>
          <w:tcPr>
            <w:tcW w:w="1080" w:type="dxa"/>
            <w:vAlign w:val="bottom"/>
            <w:gridSpan w:val="3"/>
          </w:tcPr>
          <w:p>
            <w:pPr>
              <w:jc w:val="center"/>
              <w:ind w:right="180"/>
              <w:spacing w:after="0" w:line="142" w:lineRule="exact"/>
              <w:rPr>
                <w:sz w:val="20"/>
                <w:szCs w:val="20"/>
                <w:color w:val="auto"/>
              </w:rPr>
            </w:pPr>
            <w:r>
              <w:rPr>
                <w:rFonts w:ascii="Arial" w:cs="Arial" w:eastAsia="Arial" w:hAnsi="Arial"/>
                <w:sz w:val="14"/>
                <w:szCs w:val="14"/>
                <w:b w:val="1"/>
                <w:bCs w:val="1"/>
                <w:color w:val="auto"/>
                <w:w w:val="81"/>
              </w:rPr>
              <w:t>(loss) income</w:t>
            </w:r>
          </w:p>
        </w:tc>
        <w:tc>
          <w:tcPr>
            <w:tcW w:w="80" w:type="dxa"/>
            <w:vAlign w:val="bottom"/>
          </w:tcPr>
          <w:p>
            <w:pPr>
              <w:spacing w:after="0"/>
              <w:rPr>
                <w:sz w:val="12"/>
                <w:szCs w:val="12"/>
                <w:color w:val="auto"/>
              </w:rPr>
            </w:pPr>
          </w:p>
        </w:tc>
        <w:tc>
          <w:tcPr>
            <w:tcW w:w="60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2007</w:t>
            </w:r>
          </w:p>
        </w:tc>
        <w:tc>
          <w:tcPr>
            <w:tcW w:w="7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4"/>
              </w:rPr>
              <w:t>1,600,000</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2</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4"/>
              </w:rPr>
              <w:t>9,340,000</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34"/>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9</w:t>
            </w: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9,305,388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$ 29,035</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(22,411)</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79"/>
              </w:rPr>
              <w:t>396</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8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0" w:type="dxa"/>
            <w:vAlign w:val="bottom"/>
          </w:tcPr>
          <w:p>
            <w:pPr>
              <w:ind w:left="22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0" w:type="dxa"/>
            <w:vAlign w:val="bottom"/>
          </w:tcPr>
          <w:p>
            <w:pPr>
              <w:ind w:left="22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769,909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w w:val="79"/>
              </w:rPr>
              <w:t>802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341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Comprehensive loss: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420"/>
              <w:spacing w:after="0"/>
              <w:rPr>
                <w:sz w:val="20"/>
                <w:szCs w:val="20"/>
                <w:color w:val="auto"/>
              </w:rPr>
            </w:pPr>
            <w:r>
              <w:rPr>
                <w:rFonts w:ascii="Arial" w:cs="Arial" w:eastAsia="Arial" w:hAnsi="Arial"/>
                <w:sz w:val="18"/>
                <w:szCs w:val="18"/>
                <w:color w:val="auto"/>
              </w:rPr>
              <w:t>Foreign currency translation</w:t>
            </w:r>
          </w:p>
        </w:tc>
        <w:tc>
          <w:tcPr>
            <w:tcW w:w="8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0" w:type="dxa"/>
            <w:vAlign w:val="bottom"/>
          </w:tcPr>
          <w:p>
            <w:pPr>
              <w:ind w:left="22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0" w:type="dxa"/>
            <w:vAlign w:val="bottom"/>
          </w:tcPr>
          <w:p>
            <w:pPr>
              <w:ind w:left="22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(1,375)</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(1,375)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Comprehensive loss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(1,306)</w:t>
            </w:r>
          </w:p>
        </w:tc>
        <w:tc>
          <w:tcPr>
            <w:tcW w:w="0" w:type="dxa"/>
            <w:vAlign w:val="bottom"/>
          </w:tcPr>
          <w:p>
            <w:pPr>
              <w:spacing w:after="0"/>
              <w:rPr>
                <w:sz w:val="1"/>
                <w:szCs w:val="1"/>
                <w:color w:val="auto"/>
              </w:rPr>
            </w:pPr>
          </w:p>
        </w:tc>
      </w:tr>
      <w:tr>
        <w:trPr>
          <w:trHeight w:val="20"/>
        </w:trPr>
        <w:tc>
          <w:tcPr>
            <w:tcW w:w="3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at December 31, 2008</w:t>
            </w: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040" w:type="dxa"/>
            <w:vAlign w:val="bottom"/>
            <w:gridSpan w:val="2"/>
            <w:vMerge w:val="continue"/>
          </w:tcPr>
          <w:p>
            <w:pPr>
              <w:spacing w:after="0"/>
              <w:rPr>
                <w:sz w:val="19"/>
                <w:szCs w:val="19"/>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color w:val="auto"/>
                <w:w w:val="97"/>
              </w:rPr>
              <w:t>1,600,000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160" w:type="dxa"/>
            <w:vAlign w:val="bottom"/>
          </w:tcPr>
          <w:p>
            <w:pPr>
              <w:spacing w:after="0"/>
              <w:rPr>
                <w:sz w:val="19"/>
                <w:szCs w:val="19"/>
                <w:color w:val="auto"/>
              </w:rPr>
            </w:pPr>
          </w:p>
        </w:tc>
        <w:tc>
          <w:tcPr>
            <w:tcW w:w="860" w:type="dxa"/>
            <w:vAlign w:val="bottom"/>
            <w:gridSpan w:val="2"/>
          </w:tcPr>
          <w:p>
            <w:pPr>
              <w:ind w:left="60"/>
              <w:spacing w:after="0"/>
              <w:rPr>
                <w:sz w:val="20"/>
                <w:szCs w:val="20"/>
                <w:color w:val="auto"/>
              </w:rPr>
            </w:pPr>
            <w:r>
              <w:rPr>
                <w:rFonts w:ascii="Arial" w:cs="Arial" w:eastAsia="Arial" w:hAnsi="Arial"/>
                <w:sz w:val="18"/>
                <w:szCs w:val="18"/>
                <w:color w:val="auto"/>
                <w:w w:val="97"/>
              </w:rPr>
              <w:t>9,340,000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9</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10,075,297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30,178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(22,342)</w:t>
            </w:r>
          </w:p>
        </w:tc>
        <w:tc>
          <w:tcPr>
            <w:tcW w:w="18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(979)</w:t>
            </w: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6,878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w:t>
            </w: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475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8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0" w:type="dxa"/>
            <w:vAlign w:val="bottom"/>
          </w:tcPr>
          <w:p>
            <w:pPr>
              <w:ind w:left="22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0" w:type="dxa"/>
            <w:vAlign w:val="bottom"/>
          </w:tcPr>
          <w:p>
            <w:pPr>
              <w:ind w:left="22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(15,500)</w:t>
            </w:r>
          </w:p>
        </w:tc>
        <w:tc>
          <w:tcPr>
            <w:tcW w:w="160" w:type="dxa"/>
            <w:vAlign w:val="bottom"/>
          </w:tcPr>
          <w:p>
            <w:pPr>
              <w:spacing w:after="0"/>
              <w:rPr>
                <w:sz w:val="18"/>
                <w:szCs w:val="18"/>
                <w:color w:val="auto"/>
              </w:rPr>
            </w:pP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400"/>
              <w:spacing w:after="0"/>
              <w:rPr>
                <w:sz w:val="20"/>
                <w:szCs w:val="20"/>
                <w:color w:val="auto"/>
              </w:rPr>
            </w:pPr>
            <w:r>
              <w:rPr>
                <w:rFonts w:ascii="Arial" w:cs="Arial" w:eastAsia="Arial" w:hAnsi="Arial"/>
                <w:sz w:val="18"/>
                <w:szCs w:val="18"/>
                <w:color w:val="auto"/>
                <w:w w:val="99"/>
              </w:rPr>
              <w:t>(65)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381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Comprehensive income: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tcPr>
          <w:p>
            <w:pPr>
              <w:ind w:left="420"/>
              <w:spacing w:after="0"/>
              <w:rPr>
                <w:sz w:val="20"/>
                <w:szCs w:val="20"/>
                <w:color w:val="auto"/>
              </w:rPr>
            </w:pPr>
            <w:r>
              <w:rPr>
                <w:rFonts w:ascii="Arial" w:cs="Arial" w:eastAsia="Arial" w:hAnsi="Arial"/>
                <w:sz w:val="18"/>
                <w:szCs w:val="18"/>
                <w:color w:val="auto"/>
              </w:rPr>
              <w:t>Foreign currency translation</w:t>
            </w:r>
          </w:p>
        </w:tc>
        <w:tc>
          <w:tcPr>
            <w:tcW w:w="8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0" w:type="dxa"/>
            <w:vAlign w:val="bottom"/>
          </w:tcPr>
          <w:p>
            <w:pPr>
              <w:ind w:left="22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0" w:type="dxa"/>
            <w:vAlign w:val="bottom"/>
          </w:tcPr>
          <w:p>
            <w:pPr>
              <w:ind w:left="22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(192)</w:t>
            </w:r>
          </w:p>
        </w:tc>
        <w:tc>
          <w:tcPr>
            <w:tcW w:w="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Comprehensive income</w:t>
            </w:r>
          </w:p>
        </w:tc>
        <w:tc>
          <w:tcPr>
            <w:tcW w:w="7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04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2009</w:t>
            </w:r>
          </w:p>
        </w:tc>
        <w:tc>
          <w:tcPr>
            <w:tcW w:w="840" w:type="dxa"/>
            <w:vAlign w:val="bottom"/>
            <w:gridSpan w:val="2"/>
          </w:tcPr>
          <w:p>
            <w:pPr>
              <w:ind w:left="40"/>
              <w:spacing w:after="0"/>
              <w:rPr>
                <w:sz w:val="20"/>
                <w:szCs w:val="20"/>
                <w:color w:val="auto"/>
              </w:rPr>
            </w:pPr>
            <w:r>
              <w:rPr>
                <w:rFonts w:ascii="Arial" w:cs="Arial" w:eastAsia="Arial" w:hAnsi="Arial"/>
                <w:sz w:val="18"/>
                <w:szCs w:val="18"/>
                <w:color w:val="auto"/>
                <w:w w:val="97"/>
              </w:rPr>
              <w:t>1,600,000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160" w:type="dxa"/>
            <w:vAlign w:val="bottom"/>
          </w:tcPr>
          <w:p>
            <w:pPr>
              <w:spacing w:after="0"/>
              <w:rPr>
                <w:sz w:val="19"/>
                <w:szCs w:val="19"/>
                <w:color w:val="auto"/>
              </w:rPr>
            </w:pPr>
          </w:p>
        </w:tc>
        <w:tc>
          <w:tcPr>
            <w:tcW w:w="860" w:type="dxa"/>
            <w:vAlign w:val="bottom"/>
            <w:gridSpan w:val="2"/>
          </w:tcPr>
          <w:p>
            <w:pPr>
              <w:ind w:left="60"/>
              <w:spacing w:after="0"/>
              <w:rPr>
                <w:sz w:val="20"/>
                <w:szCs w:val="20"/>
                <w:color w:val="auto"/>
              </w:rPr>
            </w:pPr>
            <w:r>
              <w:rPr>
                <w:rFonts w:ascii="Arial" w:cs="Arial" w:eastAsia="Arial" w:hAnsi="Arial"/>
                <w:sz w:val="18"/>
                <w:szCs w:val="18"/>
                <w:color w:val="auto"/>
                <w:w w:val="97"/>
              </w:rPr>
              <w:t>9,340,000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9</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10,234,797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30,969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(17,114)</w:t>
            </w:r>
          </w:p>
        </w:tc>
        <w:tc>
          <w:tcPr>
            <w:tcW w:w="18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(1,171)</w:t>
            </w: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12,705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w:t>
            </w: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136,100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w w:val="79"/>
              </w:rPr>
              <w:t>413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8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0" w:type="dxa"/>
            <w:vAlign w:val="bottom"/>
          </w:tcPr>
          <w:p>
            <w:pPr>
              <w:ind w:left="22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0" w:type="dxa"/>
            <w:vAlign w:val="bottom"/>
          </w:tcPr>
          <w:p>
            <w:pPr>
              <w:ind w:left="22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500" w:type="dxa"/>
            <w:vAlign w:val="bottom"/>
            <w:gridSpan w:val="2"/>
          </w:tcPr>
          <w:p>
            <w:pPr>
              <w:ind w:left="60"/>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ind w:left="360"/>
              <w:spacing w:after="0"/>
              <w:rPr>
                <w:sz w:val="20"/>
                <w:szCs w:val="20"/>
                <w:color w:val="auto"/>
              </w:rPr>
            </w:pPr>
            <w:r>
              <w:rPr>
                <w:rFonts w:ascii="Arial" w:cs="Arial" w:eastAsia="Arial" w:hAnsi="Arial"/>
                <w:sz w:val="18"/>
                <w:szCs w:val="18"/>
                <w:b w:val="1"/>
                <w:bCs w:val="1"/>
                <w:color w:val="auto"/>
                <w:w w:val="79"/>
              </w:rPr>
              <w:t>292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900" w:type="dxa"/>
            <w:vAlign w:val="bottom"/>
            <w:gridSpan w:val="2"/>
          </w:tcPr>
          <w:p>
            <w:pPr>
              <w:ind w:left="46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8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0" w:type="dxa"/>
            <w:vAlign w:val="bottom"/>
          </w:tcPr>
          <w:p>
            <w:pPr>
              <w:ind w:left="22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0" w:type="dxa"/>
            <w:vAlign w:val="bottom"/>
          </w:tcPr>
          <w:p>
            <w:pPr>
              <w:ind w:left="22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500" w:type="dxa"/>
            <w:vAlign w:val="bottom"/>
            <w:gridSpan w:val="2"/>
          </w:tcPr>
          <w:p>
            <w:pPr>
              <w:ind w:left="6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tcPr>
          <w:p>
            <w:pPr>
              <w:ind w:left="36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6,269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ind w:left="46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w:t>
            </w: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w w:val="79"/>
              </w:rPr>
              <w:t>312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tcPr>
          <w:p>
            <w:pPr>
              <w:ind w:left="420"/>
              <w:spacing w:after="0"/>
              <w:rPr>
                <w:sz w:val="20"/>
                <w:szCs w:val="20"/>
                <w:color w:val="auto"/>
              </w:rPr>
            </w:pPr>
            <w:r>
              <w:rPr>
                <w:rFonts w:ascii="Arial" w:cs="Arial" w:eastAsia="Arial" w:hAnsi="Arial"/>
                <w:sz w:val="18"/>
                <w:szCs w:val="18"/>
                <w:color w:val="auto"/>
              </w:rPr>
              <w:t>Comprehensive income</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2010</w:t>
            </w:r>
          </w:p>
        </w:tc>
        <w:tc>
          <w:tcPr>
            <w:tcW w:w="84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97"/>
              </w:rPr>
              <w:t>1,600,000</w:t>
            </w:r>
          </w:p>
        </w:tc>
        <w:tc>
          <w:tcPr>
            <w:tcW w:w="480" w:type="dxa"/>
            <w:vAlign w:val="bottom"/>
            <w:gridSpan w:val="2"/>
            <w:shd w:val="clear" w:color="auto" w:fill="CCEEFF"/>
          </w:tcPr>
          <w:p>
            <w:pPr>
              <w:jc w:val="right"/>
              <w:ind w:right="214"/>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2</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w w:val="97"/>
              </w:rPr>
              <w:t>9,340,000</w:t>
            </w:r>
          </w:p>
        </w:tc>
        <w:tc>
          <w:tcPr>
            <w:tcW w:w="480" w:type="dxa"/>
            <w:vAlign w:val="bottom"/>
            <w:gridSpan w:val="2"/>
            <w:shd w:val="clear" w:color="auto" w:fill="CCEEFF"/>
          </w:tcPr>
          <w:p>
            <w:pPr>
              <w:jc w:val="right"/>
              <w:ind w:right="234"/>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9</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10,370,897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$ 31,674</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(10,845)</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b w:val="1"/>
                <w:bCs w:val="1"/>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(859)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7"/>
              </w:rPr>
              <w:t>19,991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BUSINESS PROCESS OUTSOURCING,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(Dollars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8"/>
          </w:tcPr>
          <w:p>
            <w:pPr>
              <w:jc w:val="right"/>
              <w:ind w:right="5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9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2010</w:t>
            </w:r>
          </w:p>
        </w:tc>
        <w:tc>
          <w:tcPr>
            <w:tcW w:w="3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2009</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6"/>
              </w:rPr>
              <w:t>2008</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6,269</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5,228</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3,589</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3,564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Profit on sale of assets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(70)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292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deferred charges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45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86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43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(860)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860"/>
              <w:spacing w:after="0"/>
              <w:rPr>
                <w:sz w:val="20"/>
                <w:szCs w:val="20"/>
                <w:color w:val="auto"/>
              </w:rPr>
            </w:pPr>
            <w:r>
              <w:rPr>
                <w:rFonts w:ascii="Arial" w:cs="Arial" w:eastAsia="Arial" w:hAnsi="Arial"/>
                <w:sz w:val="18"/>
                <w:szCs w:val="18"/>
                <w:color w:val="auto"/>
              </w:rPr>
              <w:t>Unbilled receivable</w:t>
            </w: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(298)</w:t>
            </w:r>
          </w:p>
        </w:tc>
        <w:tc>
          <w:tcPr>
            <w:tcW w:w="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(956)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86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155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860"/>
              <w:spacing w:after="0"/>
              <w:rPr>
                <w:sz w:val="20"/>
                <w:szCs w:val="20"/>
                <w:color w:val="auto"/>
              </w:rPr>
            </w:pPr>
            <w:r>
              <w:rPr>
                <w:rFonts w:ascii="Arial" w:cs="Arial" w:eastAsia="Arial" w:hAnsi="Arial"/>
                <w:sz w:val="18"/>
                <w:szCs w:val="18"/>
                <w:color w:val="auto"/>
              </w:rPr>
              <w:t>Accrued employee costs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668</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(1,428)</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86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1"/>
              </w:rPr>
              <w:t>(2,038)</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588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4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7,460</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8,637</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4,887</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9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1"/>
              </w:rPr>
              <w:t>(1,596)</w:t>
            </w:r>
          </w:p>
        </w:tc>
        <w:tc>
          <w:tcPr>
            <w:tcW w:w="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of property and equipment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Security deposits</w:t>
            </w: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(380)</w:t>
            </w:r>
          </w:p>
        </w:tc>
        <w:tc>
          <w:tcPr>
            <w:tcW w:w="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Sublease receipts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Recoveries of security deposits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238</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1,300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1"/>
              </w:rPr>
              <w:t>(1,349)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(849)</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(2,322)</w:t>
            </w:r>
          </w:p>
        </w:tc>
        <w:tc>
          <w:tcPr>
            <w:tcW w:w="0" w:type="dxa"/>
            <w:vAlign w:val="bottom"/>
          </w:tcPr>
          <w:p>
            <w:pPr>
              <w:spacing w:after="0"/>
              <w:rPr>
                <w:sz w:val="1"/>
                <w:szCs w:val="1"/>
                <w:color w:val="auto"/>
              </w:rPr>
            </w:pPr>
          </w:p>
        </w:tc>
      </w:tr>
      <w:tr>
        <w:trPr>
          <w:trHeight w:val="329"/>
        </w:trPr>
        <w:tc>
          <w:tcPr>
            <w:tcW w:w="89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on capital lease obligations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1"/>
              </w:rPr>
              <w:t>(2,823)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(2,618)</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Short-term borrowings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71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issuance of common stock</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Payment towards repurchase of common stock</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1"/>
              </w:rPr>
              <w:t>(2,553)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(2,279)</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(1,413)</w:t>
            </w:r>
          </w:p>
        </w:tc>
        <w:tc>
          <w:tcPr>
            <w:tcW w:w="0" w:type="dxa"/>
            <w:vAlign w:val="bottom"/>
          </w:tcPr>
          <w:p>
            <w:pPr>
              <w:spacing w:after="0"/>
              <w:rPr>
                <w:sz w:val="1"/>
                <w:szCs w:val="1"/>
                <w:color w:val="auto"/>
              </w:rPr>
            </w:pPr>
          </w:p>
        </w:tc>
      </w:tr>
      <w:tr>
        <w:trPr>
          <w:trHeight w:val="20"/>
        </w:trPr>
        <w:tc>
          <w:tcPr>
            <w:tcW w:w="8940" w:type="dxa"/>
            <w:vAlign w:val="bottom"/>
            <w:gridSpan w:val="2"/>
            <w:vMerge w:val="restart"/>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9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165</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9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3,723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10,068</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4,888</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4,568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13,791</w:t>
            </w:r>
          </w:p>
        </w:tc>
        <w:tc>
          <w:tcPr>
            <w:tcW w:w="3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10,068</w:t>
            </w:r>
          </w:p>
        </w:tc>
        <w:tc>
          <w:tcPr>
            <w:tcW w:w="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4,888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9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during the year for: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860"/>
              <w:spacing w:after="0"/>
              <w:rPr>
                <w:sz w:val="20"/>
                <w:szCs w:val="20"/>
                <w:color w:val="auto"/>
              </w:rPr>
            </w:pPr>
            <w:r>
              <w:rPr>
                <w:rFonts w:ascii="Arial" w:cs="Arial" w:eastAsia="Arial" w:hAnsi="Arial"/>
                <w:sz w:val="18"/>
                <w:szCs w:val="18"/>
                <w:color w:val="auto"/>
              </w:rPr>
              <w:t>Interest</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924</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955</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Income taxes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760</w:t>
            </w:r>
          </w:p>
        </w:tc>
        <w:tc>
          <w:tcPr>
            <w:tcW w:w="3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non-cash information</w:t>
            </w: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9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Assets acquired under capital leases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2,447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6,873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Notes receivable executed</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277</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211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Business Process Outsourcing, Inc.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December 31, 2010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(Dollars in thousands, except per share amounts)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Description of Business</w:t>
      </w:r>
    </w:p>
    <w:p>
      <w:pPr>
        <w:spacing w:after="0" w:line="9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Business Process Outsourcing, Inc. (“BPO” or “the Company”) is incorporated under the laws of the Cayman Islands. BPO’s subsidiaries are Business Process Outsourcing Ltd., a Mauritius corporation, Business Process Outsourcing (India) Private Limited (“BPO India”), an Indian corporation, Outsource Partners International Limited, a United Kingdom corporation, BPO Enterprises, Inc., a Delaware corporation (an inactive entity), National Tax Compliance Services LLC, a Delaware corporation (an inactive entity), Outsource Partners International EAD, a Bulgaria corporation, Outsource Partners International, Inc., a Delaware corporation, Outsource Partners International Corporation, a Nova Scotia corporation (an inactive entity), Outsourcepartners International (India) Private Limited, an India corporation; Outsource Partners International SDN BHD, a Malaysian corporation; and Outsource Partners International, Inc., a Cayman Island corporation (an inactive entity).</w:t>
      </w:r>
    </w:p>
    <w:p>
      <w:pPr>
        <w:spacing w:after="0" w:line="14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BPO, together with its subsidiaries, is principally engaged in providing business process outsourcing services in the finance and accounting arena. The services are provided primarily from India, along with shared service centers in Bulgaria and Malaysia, as well as resources on-site at client locations in the U.S. The Company’s clients are located principally in the United States.</w:t>
      </w:r>
    </w:p>
    <w:p>
      <w:pPr>
        <w:spacing w:after="0" w:line="215" w:lineRule="exact"/>
        <w:rPr>
          <w:sz w:val="20"/>
          <w:szCs w:val="20"/>
          <w:color w:val="auto"/>
        </w:rPr>
      </w:pPr>
    </w:p>
    <w:p>
      <w:pPr>
        <w:ind w:right="7940" w:firstLine="8"/>
        <w:spacing w:after="0" w:line="347" w:lineRule="auto"/>
        <w:tabs>
          <w:tab w:leader="none" w:pos="176"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Principles of Consolidation</w:t>
      </w:r>
    </w:p>
    <w:p>
      <w:pPr>
        <w:spacing w:after="0" w:line="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consolidated financial statements include the accounts of BPO and its subsidiaries. All significant inter-company balances and transactions are eliminated in consolidation.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Preparation of the consolidated financial statements in conformity with U.S. generally accepted accounting principles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periods. Estimates are made based on management’s best assessment of the current business environment. Actual results could differ from these estimates and assumptions. The significant estimates and assumptions that affect the consolidated financial statements include, but are not limited to, allowance for doubtful accounts, future obligations under employee benefit plans, income tax valuation allowances, estimated useful lives of property and equipment and recoverability of long-term assets and goodwill.</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Foreign Currency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functional currency being the currency of the primary economic environment in which each active subsidiary operates is listed below:</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BPO – U. S. Dollar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Business Process Outsourcing Ltd. – U. S. Dollar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Business Process Outsourcing (India) Private Limited – Indian Rupee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Outsource Partners International Limited – Pound Sterling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Outsource Partners International EAD – Bulgarian Leva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Outsource Partners International, Inc. – U. S. Dollar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Outsourcepartners International (India) Private Limited – Indian Rupee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Outsource Partners International SDN BHD – Malaysian Ringgit</w:t>
      </w:r>
    </w:p>
    <w:p>
      <w:pPr>
        <w:spacing w:after="0" w:line="165"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For subsidiaries that have a functional currency other than the U.S. Dollar, the assets and liabilities of such subsidiaries are translated into U.S. Dollars, the reporting currency, at the rate of exchange prevailing on the balance sheet date. Resulting translation adjustments are included in accumulated other comprehensive income (loss).</w:t>
      </w: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2008, the Company changed the method used for translating revenues and expenses into U.S Dollars from average exchange rate prevailing during the period to average exchange rates prevailing during the month in which transactions were recorded. This change enabled foreign currency transactions to be translated at exchange rates which were closer to the date when such transactions were recorded. Due to this change, profit for the year ended December 31, 2008 was higher by $209 and cumulative comprehensive loss was lower by $209 as at December 31, 2008. Foreign currency transaction gains and losses are recorded in the Consolidated Statements of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6" w:lineRule="exact"/>
        <w:rPr>
          <w:sz w:val="20"/>
          <w:szCs w:val="20"/>
          <w:color w:val="auto"/>
        </w:rPr>
      </w:pPr>
    </w:p>
    <w:p>
      <w:pPr>
        <w:ind w:right="60"/>
        <w:spacing w:after="0" w:line="318" w:lineRule="auto"/>
        <w:rPr>
          <w:sz w:val="20"/>
          <w:szCs w:val="20"/>
          <w:color w:val="auto"/>
        </w:rPr>
      </w:pPr>
      <w:r>
        <w:rPr>
          <w:rFonts w:ascii="Arial" w:cs="Arial" w:eastAsia="Arial" w:hAnsi="Arial"/>
          <w:sz w:val="15"/>
          <w:szCs w:val="15"/>
          <w:color w:val="auto"/>
        </w:rPr>
        <w:t>The Company derives revenues primarily from performing business process outsourcing services. Outsourcing contracts typically span several years and may involve delivery through a combination of resources in different countries. Revenue is recognized as services are rendered, provided that persuasive evidence of an arrangement exists, there are no remaining obligations with respect to the services rendered and collection is considered probable. The Company has time and material, cost plus, and unit pricing arrangements. Revenue on unit priced arrangements is recognized as transactions are processed. Revenues on time and material contracts are recognized based on time incurred in performing the services and on cost plus arrangements are recognized as the services are performed.</w:t>
      </w:r>
    </w:p>
    <w:p>
      <w:pPr>
        <w:spacing w:after="0" w:line="10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Revenues recognized in excess of billings are recorded as unbilled receivables. Billings in excess of revenues recognized are deferred until revenue recognition criteria are met.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Business Process Outsourcing, Inc.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December 31, 2010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(Dollars in thousands, except per share amounts)</w:t>
      </w:r>
    </w:p>
    <w:p>
      <w:pPr>
        <w:spacing w:after="0" w:line="15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accordance with Accounting Standards Codification (“ASC”) No. 605-45, “Income Statement Characterization of Reimbursements Received for Out-of-Pocket Expenses Incurred,” the Company accounts for reimbursable out-of-pocket expenses as revenue in the Consolidated Statement of Operations and an equivalent amount is included in cost of revenue.</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auto"/>
        </w:rPr>
        <w:t>Revenue includes reimbursements of out-of-pocket expenses of $3,736, $3,227 and $6,305 for the years ended December 31, 2010, 2009 and 2008, respectively.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During 2010, 2009 and 2008, two customers accounted for more than 10% of the Company’s Total Revenues.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100" w:type="dxa"/>
            <w:vAlign w:val="bottom"/>
            <w:tcBorders>
              <w:bottom w:val="single" w:sz="8" w:color="CCEEFF"/>
            </w:tcBorders>
          </w:tcPr>
          <w:p>
            <w:pPr>
              <w:spacing w:after="0"/>
              <w:rPr>
                <w:sz w:val="14"/>
                <w:szCs w:val="14"/>
                <w:color w:val="auto"/>
              </w:rPr>
            </w:pPr>
          </w:p>
        </w:tc>
        <w:tc>
          <w:tcPr>
            <w:tcW w:w="32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2010</w:t>
            </w:r>
          </w:p>
        </w:tc>
        <w:tc>
          <w:tcPr>
            <w:tcW w:w="6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2009</w:t>
            </w:r>
          </w:p>
        </w:tc>
        <w:tc>
          <w:tcPr>
            <w:tcW w:w="6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2008</w:t>
            </w:r>
          </w:p>
        </w:tc>
        <w:tc>
          <w:tcPr>
            <w:tcW w:w="200" w:type="dxa"/>
            <w:vAlign w:val="bottom"/>
            <w:tcBorders>
              <w:bottom w:val="single" w:sz="8" w:color="CCEEFF"/>
            </w:tcBorders>
          </w:tcPr>
          <w:p>
            <w:pPr>
              <w:spacing w:after="0"/>
              <w:rPr>
                <w:sz w:val="14"/>
                <w:szCs w:val="14"/>
                <w:color w:val="auto"/>
              </w:rPr>
            </w:pPr>
          </w:p>
        </w:tc>
      </w:tr>
      <w:tr>
        <w:trPr>
          <w:trHeight w:val="210"/>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Customer A</w:t>
            </w:r>
          </w:p>
        </w:tc>
        <w:tc>
          <w:tcPr>
            <w:tcW w:w="3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w:t>
            </w: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r>
      <w:tr>
        <w:trPr>
          <w:trHeight w:val="222"/>
        </w:trPr>
        <w:tc>
          <w:tcPr>
            <w:tcW w:w="4100" w:type="dxa"/>
            <w:vAlign w:val="bottom"/>
          </w:tcPr>
          <w:p>
            <w:pPr>
              <w:spacing w:after="0"/>
              <w:rPr>
                <w:sz w:val="20"/>
                <w:szCs w:val="20"/>
                <w:color w:val="auto"/>
              </w:rPr>
            </w:pPr>
            <w:r>
              <w:rPr>
                <w:rFonts w:ascii="Arial" w:cs="Arial" w:eastAsia="Arial" w:hAnsi="Arial"/>
                <w:sz w:val="18"/>
                <w:szCs w:val="18"/>
                <w:color w:val="auto"/>
              </w:rPr>
              <w:t>Customer B</w:t>
            </w:r>
          </w:p>
        </w:tc>
        <w:tc>
          <w:tcPr>
            <w:tcW w:w="4120" w:type="dxa"/>
            <w:vAlign w:val="bottom"/>
            <w:gridSpan w:val="3"/>
          </w:tcPr>
          <w:p>
            <w:pPr>
              <w:jc w:val="right"/>
              <w:ind w:right="480"/>
              <w:spacing w:after="0"/>
              <w:rPr>
                <w:sz w:val="20"/>
                <w:szCs w:val="20"/>
                <w:color w:val="auto"/>
              </w:rPr>
            </w:pPr>
            <w:r>
              <w:rPr>
                <w:rFonts w:ascii="Arial" w:cs="Arial" w:eastAsia="Arial" w:hAnsi="Arial"/>
                <w:sz w:val="18"/>
                <w:szCs w:val="18"/>
                <w:color w:val="auto"/>
              </w:rPr>
              <w:t>14%</w:t>
            </w: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11%</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w:t>
      </w:r>
    </w:p>
    <w:p>
      <w:pPr>
        <w:spacing w:after="0" w:line="96" w:lineRule="exact"/>
        <w:rPr>
          <w:sz w:val="20"/>
          <w:szCs w:val="20"/>
          <w:color w:val="auto"/>
        </w:rPr>
      </w:pPr>
    </w:p>
    <w:p>
      <w:pPr>
        <w:ind w:right="680"/>
        <w:spacing w:after="0" w:line="332" w:lineRule="auto"/>
        <w:rPr>
          <w:sz w:val="20"/>
          <w:szCs w:val="20"/>
          <w:color w:val="auto"/>
        </w:rPr>
      </w:pPr>
      <w:r>
        <w:rPr>
          <w:rFonts w:ascii="Arial" w:cs="Arial" w:eastAsia="Arial" w:hAnsi="Arial"/>
          <w:sz w:val="16"/>
          <w:szCs w:val="16"/>
          <w:color w:val="auto"/>
        </w:rPr>
        <w:t>Cost of revenue includes salaries and employee benefits of employees directly attributed to a project. It also includes direct costs and other out-of-pocket expenses related to those contracts. It does not include any allocation of overhead such as facility rent and other indirect operating costs.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consist of cash balances and liquid investments with original maturities of three months or less.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Deposits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Security deposits consist of amounts paid to lessors for various leases of its facilities.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Receivables and Allowance for Doubtful Accounts</w:t>
      </w:r>
    </w:p>
    <w:p>
      <w:pPr>
        <w:spacing w:after="0" w:line="9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Accounts receivable are stated net of an allowance for doubtful accounts. On a periodic basis, the Company evaluates its receivables and establishes an allowance for doubtful accounts based on historical experience and other currently available information.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Business Process Outsourcing,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 except per share amounts)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Instruments</w:t>
      </w:r>
    </w:p>
    <w:p>
      <w:pPr>
        <w:spacing w:after="0" w:line="96" w:lineRule="exact"/>
        <w:rPr>
          <w:sz w:val="20"/>
          <w:szCs w:val="20"/>
          <w:color w:val="auto"/>
        </w:rPr>
      </w:pPr>
    </w:p>
    <w:p>
      <w:pPr>
        <w:jc w:val="both"/>
        <w:ind w:right="180"/>
        <w:spacing w:after="0" w:line="303" w:lineRule="auto"/>
        <w:rPr>
          <w:sz w:val="20"/>
          <w:szCs w:val="20"/>
          <w:color w:val="auto"/>
        </w:rPr>
      </w:pPr>
      <w:r>
        <w:rPr>
          <w:rFonts w:ascii="Arial" w:cs="Arial" w:eastAsia="Arial" w:hAnsi="Arial"/>
          <w:sz w:val="15"/>
          <w:szCs w:val="15"/>
          <w:color w:val="auto"/>
        </w:rPr>
        <w:t>In the normal course of business, the Company occasionally uses derivative financial instruments to manage foreign currency exchange rate risk. The Company hedges material cash flow exposure using forward contracts. These instruments are short-term in nature, with maturities of less than one year, and are subject to fluctuations in foreign exchange rates. All of the Company’s financial instruments are recorded at estimated fair value or amounts that approximate fair value.</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does not have any derivatives designated as hedges as defined by ASC No. 815, “Derivatives and Hedging”. The changes in fair value of all derivatives are recognized in the Consolidated Statements of Operations and are included in the foreign exchange (loss) gain. During 2010, 2009 and 2008, $(32), $116 and $0, respectively, were recognized as (losses) gains related to these derivatives. There were $1,250 and $4,625 of derivative instruments outstanding as of December 31, 2010 and 2009.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9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ASC No. 820, “Fair Value Measurements and Disclosures” (“ASC No. 820”), establishes a three-tier value hierarchy, which prioritizes the inputs used in the valuation methodologies in measuring fair value:</w:t>
      </w:r>
    </w:p>
    <w:p>
      <w:pPr>
        <w:sectPr>
          <w:pgSz w:w="11900" w:h="16838" w:orient="portrait"/>
          <w:cols w:equalWidth="0" w:num="1">
            <w:col w:w="11420"/>
          </w:cols>
          <w:pgMar w:left="240" w:top="280" w:right="23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Level 1</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 Observable inputs that reflect quoted prices (unadjusted) for identical assets or liabilities in active markets.</w:t>
      </w:r>
    </w:p>
    <w:p>
      <w:pPr>
        <w:spacing w:after="0" w:line="140" w:lineRule="exact"/>
        <w:rPr>
          <w:sz w:val="20"/>
          <w:szCs w:val="20"/>
          <w:color w:val="auto"/>
        </w:rPr>
      </w:pPr>
    </w:p>
    <w:p>
      <w:pPr>
        <w:sectPr>
          <w:pgSz w:w="11900" w:h="16838" w:orient="portrait"/>
          <w:cols w:equalWidth="0" w:num="2">
            <w:col w:w="540" w:space="140"/>
            <w:col w:w="1074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Level 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Includes other inputs that are directly or indirectly observable in the marketplace.</w:t>
      </w:r>
    </w:p>
    <w:p>
      <w:pPr>
        <w:spacing w:after="0" w:line="140" w:lineRule="exact"/>
        <w:rPr>
          <w:sz w:val="20"/>
          <w:szCs w:val="20"/>
          <w:color w:val="auto"/>
        </w:rPr>
      </w:pPr>
    </w:p>
    <w:p>
      <w:pPr>
        <w:sectPr>
          <w:pgSz w:w="11900" w:h="16838" w:orient="portrait"/>
          <w:cols w:equalWidth="0" w:num="2">
            <w:col w:w="540" w:space="120"/>
            <w:col w:w="1076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Level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Unobservable inputs which are supported by little or no market activity.</w:t>
      </w:r>
    </w:p>
    <w:p>
      <w:pPr>
        <w:spacing w:after="0" w:line="194" w:lineRule="exact"/>
        <w:rPr>
          <w:sz w:val="20"/>
          <w:szCs w:val="20"/>
          <w:color w:val="auto"/>
        </w:rPr>
      </w:pPr>
    </w:p>
    <w:p>
      <w:pPr>
        <w:sectPr>
          <w:pgSz w:w="11900" w:h="16838" w:orient="portrait"/>
          <w:cols w:equalWidth="0" w:num="2">
            <w:col w:w="540" w:space="140"/>
            <w:col w:w="10740"/>
          </w:cols>
          <w:pgMar w:left="240" w:top="280" w:right="239" w:bottom="1440" w:gutter="0" w:footer="0" w:header="0"/>
          <w:type w:val="continuous"/>
        </w:sectPr>
      </w:pPr>
    </w:p>
    <w:p>
      <w:pPr>
        <w:ind w:right="60"/>
        <w:spacing w:after="0" w:line="323" w:lineRule="auto"/>
        <w:rPr>
          <w:sz w:val="20"/>
          <w:szCs w:val="20"/>
          <w:color w:val="auto"/>
        </w:rPr>
      </w:pPr>
      <w:r>
        <w:rPr>
          <w:rFonts w:ascii="Arial" w:cs="Arial" w:eastAsia="Arial" w:hAnsi="Arial"/>
          <w:sz w:val="15"/>
          <w:szCs w:val="15"/>
          <w:color w:val="auto"/>
        </w:rPr>
        <w:t>The fair value hierarchy also requires an entity to maximize the use of observable inputs and minimize the use of unobservable inputs when measuring fair value. In accordance with ASC No. 820, the Company measures foreign currency forward contracts at fair value. The foreign currency forward contracts are classified within Level 2 as the valuation inputs are based on quoted prices and market observable data of similar instruments in active markets, and are recorded in other current assets in the Consolidated Balance Sheets. As at December 31, 2010 and 2009 the amount recorded in other current assets was $82 and $112, respectively</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type w:val="continuous"/>
        </w:sectPr>
      </w:pPr>
    </w:p>
    <w:bookmarkStart w:id="16" w:name="page17"/>
    <w:bookmarkEnd w:id="16"/>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Business Process Outsourcing, Inc.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December 31, 2010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(Dollars in thousands, except per share amounts)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9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Property and equipment are stated at cost, net of accumulated depreciation and amortization. Property and equipment under capital leases are stated at the present value of the minimum lease payments at the inception of the lease, net of accumulated amortization.</w:t>
      </w:r>
    </w:p>
    <w:p>
      <w:pPr>
        <w:spacing w:after="0" w:line="13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Depreciation is computed using the straight-line method over the estimated useful lives of assets. Depreciation and amortization on equipment held under capital leases and leasehold improvements is computed using the straight-line method over the shorter of the assets’ estimated lives or the lease term. The estimated useful lives of property and equipment are as follows:</w:t>
      </w:r>
    </w:p>
    <w:p>
      <w:pPr>
        <w:spacing w:after="0" w:line="189"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3140" w:type="dxa"/>
            <w:vAlign w:val="bottom"/>
            <w:shd w:val="clear" w:color="auto" w:fill="CCEEFF"/>
          </w:tcPr>
          <w:p>
            <w:pPr>
              <w:ind w:left="2320"/>
              <w:spacing w:after="0"/>
              <w:rPr>
                <w:sz w:val="20"/>
                <w:szCs w:val="20"/>
                <w:color w:val="auto"/>
              </w:rPr>
            </w:pPr>
            <w:r>
              <w:rPr>
                <w:rFonts w:ascii="Arial" w:cs="Arial" w:eastAsia="Arial" w:hAnsi="Arial"/>
                <w:sz w:val="18"/>
                <w:szCs w:val="18"/>
                <w:color w:val="auto"/>
                <w:w w:val="85"/>
              </w:rPr>
              <w:t>5 to 7 years</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140" w:type="dxa"/>
            <w:vAlign w:val="bottom"/>
          </w:tcPr>
          <w:p>
            <w:pPr>
              <w:ind w:left="2320"/>
              <w:spacing w:after="0"/>
              <w:rPr>
                <w:sz w:val="20"/>
                <w:szCs w:val="20"/>
                <w:color w:val="auto"/>
              </w:rPr>
            </w:pPr>
            <w:r>
              <w:rPr>
                <w:rFonts w:ascii="Arial" w:cs="Arial" w:eastAsia="Arial" w:hAnsi="Arial"/>
                <w:sz w:val="18"/>
                <w:szCs w:val="18"/>
                <w:color w:val="auto"/>
                <w:w w:val="85"/>
              </w:rPr>
              <w:t>3 to 8 years</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w:t>
            </w:r>
          </w:p>
        </w:tc>
        <w:tc>
          <w:tcPr>
            <w:tcW w:w="3140" w:type="dxa"/>
            <w:vAlign w:val="bottom"/>
            <w:shd w:val="clear" w:color="auto" w:fill="CCEEFF"/>
          </w:tcPr>
          <w:p>
            <w:pPr>
              <w:ind w:left="2320"/>
              <w:spacing w:after="0"/>
              <w:rPr>
                <w:sz w:val="20"/>
                <w:szCs w:val="20"/>
                <w:color w:val="auto"/>
              </w:rPr>
            </w:pPr>
            <w:r>
              <w:rPr>
                <w:rFonts w:ascii="Arial" w:cs="Arial" w:eastAsia="Arial" w:hAnsi="Arial"/>
                <w:sz w:val="18"/>
                <w:szCs w:val="18"/>
                <w:color w:val="auto"/>
                <w:w w:val="85"/>
              </w:rPr>
              <w:t>3 to 5 years</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Computer software</w:t>
            </w:r>
          </w:p>
        </w:tc>
        <w:tc>
          <w:tcPr>
            <w:tcW w:w="3140" w:type="dxa"/>
            <w:vAlign w:val="bottom"/>
          </w:tcPr>
          <w:p>
            <w:pPr>
              <w:ind w:left="2320"/>
              <w:spacing w:after="0"/>
              <w:rPr>
                <w:sz w:val="20"/>
                <w:szCs w:val="20"/>
                <w:color w:val="auto"/>
              </w:rPr>
            </w:pPr>
            <w:r>
              <w:rPr>
                <w:rFonts w:ascii="Arial" w:cs="Arial" w:eastAsia="Arial" w:hAnsi="Arial"/>
                <w:sz w:val="18"/>
                <w:szCs w:val="18"/>
                <w:color w:val="auto"/>
                <w:w w:val="85"/>
              </w:rPr>
              <w:t>3 to 5 years</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 and machinery</w:t>
            </w:r>
          </w:p>
        </w:tc>
        <w:tc>
          <w:tcPr>
            <w:tcW w:w="3140" w:type="dxa"/>
            <w:vAlign w:val="bottom"/>
            <w:shd w:val="clear" w:color="auto" w:fill="CCEEFF"/>
          </w:tcPr>
          <w:p>
            <w:pPr>
              <w:ind w:left="2320"/>
              <w:spacing w:after="0"/>
              <w:rPr>
                <w:sz w:val="20"/>
                <w:szCs w:val="20"/>
                <w:color w:val="auto"/>
              </w:rPr>
            </w:pPr>
            <w:r>
              <w:rPr>
                <w:rFonts w:ascii="Arial" w:cs="Arial" w:eastAsia="Arial" w:hAnsi="Arial"/>
                <w:sz w:val="18"/>
                <w:szCs w:val="18"/>
                <w:color w:val="auto"/>
                <w:w w:val="85"/>
              </w:rPr>
              <w:t>3 to 5 years</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Intangible assets primarily consist of amounts allocated to customer contracts arising from the acquisition of the business process outsourcing division of a large public accounting firm in 2002. These amounts are being amortized on a straight-line basis over approximately five years. Amortization of such customer contract intangible assets for the years ended December 31, 2010, 2009 and 2008 amounted to $0, $0 and $188, respectively. Management evaluates the realizability of contract rights (if there are indicators of impairment) based upon the Company’s forecasted undiscounted cash flows. No impairment occurred during the years ended December 31, 2010, 2009 and 2008.</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9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Long-lived assets with definite lives, including property and equipment and intangible assets are reviewed for impairment when events or changes in circumstances indicate that the carrying amount of such assets may not be recoverable. Recoverability of long-lived assets with definite lives is assessed based on a comparison of the carrying amount to the estimated future undiscounted net cash flows. If estimated future undiscounted net cash flows are less than the carrying amounts, the related assets are considered impaired and expense is recorded to reduce the carrying amounts to fair value. The fair value is determined based on the valuation techniques such as comparison to fair value of similar assets or using a discounted cash flow analysis. No impairment occurred during the years ended December 31, 2010, 2009 and 2008.</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Business Process Outsourcing, Inc.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December 31, 2010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(Dollars in thousands, except per share amounts)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Charges</w:t>
      </w:r>
    </w:p>
    <w:p>
      <w:pPr>
        <w:spacing w:after="0" w:line="9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connection with certain of the Company’s outsourcing arrangements, the Company may incur specific, direct and incremental external costs to acquire a contractual relationship. Such costs primarily consist of legal costs to negotiate contract terms. The Company defers these client acquisition costs if the recovery of such costs is probable and amortizes them ratably over the period of the contract.</w:t>
      </w:r>
    </w:p>
    <w:p>
      <w:pPr>
        <w:spacing w:after="0" w:line="14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During 2010, 2009 and 2008, the Company capitalized $0, $0 and $30 of client acquisition costs. The related amortization for the years was $20, $40 and $64,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Effective January 1, 2006, the Company adopted ASC No. 718, “Compensation – Stock Compensation” (“ASC No. 718”). Under the fair value recognition provisions of this statement, stock-based compensation cost is measured at the grant date based on the fair value of the award and is recognized as expense on a straight-line basis over the requisite service period, which is the vesting period. The Company adopted the provisions of ASC No. 718 using the prospective transition method, which requires that the estimated fair value of share based awards granted under stock incentive plans is recognized as compensation expense for all share based payments (i) granted after the effective date of adoption and (ii) granted prior to the effective date of adoption that are modified, repurchased or cancelled. See note 10 for a detailed discussion of stock-based compensation and adoption of ASC No. 718.</w:t>
      </w:r>
    </w:p>
    <w:p>
      <w:pPr>
        <w:spacing w:after="0" w:line="12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There were no options granted during 2010. The fair value of each option was estimated on the date of grant using the Black Scholes option pricing model during 2009 with the following assumptions:</w:t>
      </w:r>
    </w:p>
    <w:p>
      <w:pPr>
        <w:spacing w:after="0" w:line="15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Year ended</w:t>
            </w:r>
          </w:p>
        </w:tc>
      </w:tr>
      <w:tr>
        <w:trPr>
          <w:trHeight w:val="149"/>
        </w:trPr>
        <w:tc>
          <w:tcPr>
            <w:tcW w:w="4280" w:type="dxa"/>
            <w:vAlign w:val="bottom"/>
          </w:tcPr>
          <w:p>
            <w:pPr>
              <w:spacing w:after="0"/>
              <w:rPr>
                <w:sz w:val="12"/>
                <w:szCs w:val="12"/>
                <w:color w:val="auto"/>
              </w:rPr>
            </w:pPr>
          </w:p>
        </w:tc>
        <w:tc>
          <w:tcPr>
            <w:tcW w:w="3480" w:type="dxa"/>
            <w:vAlign w:val="bottom"/>
            <w:gridSpan w:val="3"/>
          </w:tcPr>
          <w:p>
            <w:pPr>
              <w:jc w:val="center"/>
              <w:ind w:left="2177"/>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61"/>
        </w:trPr>
        <w:tc>
          <w:tcPr>
            <w:tcW w:w="4280" w:type="dxa"/>
            <w:vAlign w:val="bottom"/>
            <w:tcBorders>
              <w:bottom w:val="single" w:sz="8" w:color="CCEEFF"/>
            </w:tcBorders>
          </w:tcPr>
          <w:p>
            <w:pPr>
              <w:spacing w:after="0"/>
              <w:rPr>
                <w:sz w:val="14"/>
                <w:szCs w:val="14"/>
                <w:color w:val="auto"/>
              </w:rPr>
            </w:pPr>
          </w:p>
        </w:tc>
        <w:tc>
          <w:tcPr>
            <w:tcW w:w="24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200" w:type="dxa"/>
            <w:vAlign w:val="bottom"/>
            <w:tcBorders>
              <w:bottom w:val="single" w:sz="8" w:color="CCEEFF"/>
            </w:tcBorders>
          </w:tcPr>
          <w:p>
            <w:pPr>
              <w:spacing w:after="0"/>
              <w:rPr>
                <w:sz w:val="14"/>
                <w:szCs w:val="14"/>
                <w:color w:val="auto"/>
              </w:rPr>
            </w:pPr>
          </w:p>
        </w:tc>
      </w:tr>
      <w:tr>
        <w:trPr>
          <w:trHeight w:val="210"/>
        </w:trPr>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Dividend yield</w:t>
            </w:r>
          </w:p>
        </w:tc>
        <w:tc>
          <w:tcPr>
            <w:tcW w:w="2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Expected life (in months)</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3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4.63%</w:t>
            </w:r>
          </w:p>
        </w:tc>
      </w:tr>
      <w:tr>
        <w:trPr>
          <w:trHeight w:val="222"/>
        </w:trPr>
        <w:tc>
          <w:tcPr>
            <w:tcW w:w="4280" w:type="dxa"/>
            <w:vAlign w:val="bottom"/>
          </w:tcPr>
          <w:p>
            <w:pPr>
              <w:spacing w:after="0"/>
              <w:rPr>
                <w:sz w:val="20"/>
                <w:szCs w:val="20"/>
                <w:color w:val="auto"/>
              </w:rPr>
            </w:pPr>
            <w:r>
              <w:rPr>
                <w:rFonts w:ascii="Arial" w:cs="Arial" w:eastAsia="Arial" w:hAnsi="Arial"/>
                <w:sz w:val="18"/>
                <w:szCs w:val="18"/>
                <w:color w:val="auto"/>
              </w:rPr>
              <w:t>Volatility</w:t>
            </w:r>
          </w:p>
        </w:tc>
        <w:tc>
          <w:tcPr>
            <w:tcW w:w="3480" w:type="dxa"/>
            <w:vAlign w:val="bottom"/>
            <w:gridSpan w:val="3"/>
          </w:tcPr>
          <w:p>
            <w:pPr>
              <w:jc w:val="right"/>
              <w:ind w:right="60"/>
              <w:spacing w:after="0"/>
              <w:rPr>
                <w:sz w:val="20"/>
                <w:szCs w:val="20"/>
                <w:color w:val="auto"/>
              </w:rPr>
            </w:pPr>
            <w:r>
              <w:rPr>
                <w:rFonts w:ascii="Arial" w:cs="Arial" w:eastAsia="Arial" w:hAnsi="Arial"/>
                <w:sz w:val="18"/>
                <w:szCs w:val="18"/>
                <w:color w:val="auto"/>
              </w:rPr>
              <w:t>35%</w:t>
            </w:r>
          </w:p>
        </w:tc>
      </w:tr>
    </w:tbl>
    <w:p>
      <w:pPr>
        <w:spacing w:after="0" w:line="14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In accordance with ASC No. 718-10, the Company estimated the expected term of options granted by using the simplified method of computing the expected life of the option. In absence of history of volatility of BPO stock trading, the Company has used the volatility of stocks of comparable companies with estimated lives of options similar to BPO. The risk-free interest rate is based on the yield on the 5-year U.S. Treasury securities issued in 2010 and 2009. The Company does not anticipate paying any cash dividends in the foreseeable future and therefore the expected dividend yield of zero is considered in the option valuation model. All stock-based payment awards are amortized ratably over the vesting periods of the awards.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18" w:name="page19"/>
    <w:bookmarkEnd w:id="18"/>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Business Process Outsourcing, Inc.</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December 31, 2010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(Dollars in thousands, except per share amounts)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accounts for income taxes based upon the provisions of ASC No. 740, “Income Taxes” (“ASC No. 740”). Under ASC No. 740, deferred tax liabilities and assets are recognized for future tax consequences attributable to differences between the financial statement carrying amounts of existing assets and liabilities and their tax bases. Any deferred tax assets recognized for net operating loss carry forwards and other items are reduced by a valuation allowance when it is more likely than not that the benefits may not be realized.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period that the rate change occurs.</w:t>
      </w:r>
    </w:p>
    <w:p>
      <w:pPr>
        <w:spacing w:after="0" w:line="12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Company’s investments in its foreign subsidiaries are considered to be permanently invested, and accordingly no provision for income taxes on the related foreign exchange translation adjustments has been recorded.</w:t>
      </w:r>
    </w:p>
    <w:p>
      <w:pPr>
        <w:spacing w:after="0" w:line="13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Effective January 1, 2009, the Company adopted the provisions of the ASC No. 740, which clarified the accounting for income taxes by prescribing the minimum recognition threshold a tax position is required to meet before being recognized in the financial statements. The provisions of ASC No. 740 are applied to all tax positions upon initial adoption, with cumulative effect adjustment reported as an adjustment to the opening balance of retained earnings. It also provides guidance on de-recognition, measurement, classification, interest and penalties, accounting in interim periods, disclosure and transition. Interest and penalties recognized in accordance with the guidance provided in ASC No. 740, if any, are being classified as interest expense and general and administrative expense, respectively. The Company did not have any unrecognized tax benefits as a result of the adoption of ASC No. 740. Moreover, during the period, the Company neither had any unrecognized tax benefits nor recognized any uncertain tax benefits. The Company did not recognize any interest or penalties in the Company’s Consolidated Statement of Operations nor did it have any such amounts recognized on the Company’s Consolidated Balance Sheets. In addition, the Company did not have any uncertain tax positions that were expected to significantly change within 12 months of the reporting date.</w:t>
      </w:r>
    </w:p>
    <w:p>
      <w:pPr>
        <w:spacing w:after="0" w:line="120"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The Company applies a two-step approach for recognizing and measuring uncertain tax positions. The first step is to evaluate the tax position for recognition by determining, based on the technical merits, that the position will be more likely than not sustained upon examination. The second step is to measure the tax benefit as the largest amount of the tax benefit that is greater than 50% likely of being realized upon settlement.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80" w:right="279" w:bottom="1440" w:gutter="0" w:footer="0" w:header="0"/>
        </w:sectPr>
      </w:pPr>
    </w:p>
    <w:bookmarkStart w:id="19" w:name="page20"/>
    <w:bookmarkEnd w:id="19"/>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Business Process Outsourcing, Inc.</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December 31, 2010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(Dollars in thousands, except per share amounts)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96" w:lineRule="exact"/>
        <w:rPr>
          <w:sz w:val="20"/>
          <w:szCs w:val="20"/>
          <w:color w:val="auto"/>
        </w:rPr>
      </w:pPr>
    </w:p>
    <w:p>
      <w:pPr>
        <w:jc w:val="both"/>
        <w:ind w:right="220"/>
        <w:spacing w:after="0" w:line="306" w:lineRule="auto"/>
        <w:rPr>
          <w:sz w:val="20"/>
          <w:szCs w:val="20"/>
          <w:color w:val="auto"/>
        </w:rPr>
      </w:pPr>
      <w:r>
        <w:rPr>
          <w:rFonts w:ascii="Arial" w:cs="Arial" w:eastAsia="Arial" w:hAnsi="Arial"/>
          <w:sz w:val="16"/>
          <w:szCs w:val="16"/>
          <w:color w:val="auto"/>
        </w:rPr>
        <w:t>Goodwill represents the excess of the cost of business acquisitions over the fair value of the acquired net tangibles and intangibles assets. Under ASC No. 350, “Intangibles – Goodwill and Other”, the Company does not amortize goodwill, but is required to test goodwill impairment at least on an annual basis or earlier when events or changes in circumstances suggest the carrying amount may not be fully recoverable.</w:t>
      </w:r>
    </w:p>
    <w:p>
      <w:pPr>
        <w:spacing w:after="0" w:line="10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As of December 31, 2010, 2009 and 2008, respectively, the Company performed annual goodwill impairment tests by comparing the book value to the estimated fair value of the reporting unit. The fair value of the reporting unit was determined using a discounted cash flow approach. The valuation of the estimated fair value on a discounted cash flow approach required significant estimates and assumptions. There was no impairment to the carrying value of goodwill at December 31, 2010, 2009 or 2008.</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Benefits</w:t>
      </w:r>
    </w:p>
    <w:p>
      <w:pPr>
        <w:spacing w:after="0" w:line="9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 accordance with Indian law, all employees of the subsidiary in India are entitled to receive benefits under the Government Provident Fund, a defined contribution plan in which both the employee and the Company contribute monthly at a determined rate (currently 12% of the employee’s base salary). These contributions are made to the Government Provident Fund.</w:t>
      </w:r>
    </w:p>
    <w:p>
      <w:pPr>
        <w:spacing w:after="0" w:line="140"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In accordance with Indian law, the Company provides for gratuity, a defined benefit retirement plan (the “Gratuity Plan”) covering all of its employees in India. The Gratuity Plan provides for a lump sum payment to vested employees on retirement or upon termination of employment in an amount based on the respective employee’s salary and years of employment with the Company. Gratuity benefit cost for the year is calculated on an actuarial basis.</w:t>
      </w:r>
    </w:p>
    <w:p>
      <w:pPr>
        <w:spacing w:after="0" w:line="107"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Contributions to defined contribution plans are charged to consolidated operating results in the period in which services are rendered by the covered employees. Current service costs for defined benefit plans are accrued in the period to which they relate. In accordance with ASC No. 715, “Compensation Retirement Benefit”, the liability in respect of defined benefit plans is calculated annually by the Company using the projected unit credit method. Prior service cost, if any, resulting from an amendment to a plan is recognized and amortized over the remaining period of service of the covered employees. The Company recognizes its liabilities for compensated absences in accordance with ASC No. 710, “Compensation-General”.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 certain financial instruments, including cash and cash equivalents, accounts receivable, accounts payable, accrued liabilities and other current assets, recorded amounts approximate fair value due to the relatively short maturity periods.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80" w:right="279" w:bottom="1440" w:gutter="0" w:footer="0" w:header="0"/>
        </w:sectPr>
      </w:pPr>
    </w:p>
    <w:bookmarkStart w:id="20" w:name="page21"/>
    <w:bookmarkEnd w:id="20"/>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Business Process Outsourcing, Inc.</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December 31, 2010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(Dollars in thousands, except per share amounts)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primarily of cash and cash equivalents and client receivables. Cash equivalents have been deposited with highly rated reputable financial institutions. Client receivables are dispersed across many different industries, however the customers are based primarily in the United States. To reduce exposure to client credit risk, the Company often bills its clients in advance. At December 31, 2010 and 2009, two customers accounted for 29% and 26% respectively, of the Company’s accounts receivable.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Advertising costs of $19, $17 and $31 were expensed as incurred for the years ended December 31, 2010, 2009 and 2008, respectively.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October 2009, the Financial Accounting Standards Board (FASB) issued Update No. 2009-13, “Multiple-Deliverable Revenue Arrangements - a consensus of the FASB Emerging Issues Task Force” (ASU 2009-13). It updates the existing multiple-element revenue arrangements guidance currently included under ASC No. 605-25, which originated primarily from the guidance in EITF Issue No. 00-21, “Revenue Arrangements with Multiple Deliverables” (EITF 00-21). The revised guidance primarily provides two significant changes: 1) eliminates the need for objective and reliable evidence of the fair value for the undelivered element in order for a delivered item to be treated as a separate unit of accounting, and 2) eliminates the residual method to allocate the arrangement consideration. In addition, the guidance also expands the disclosure requirements for revenue recognition. ASU 2009-13 will be effective for the first annual reporting period beginning on or after June 15, 2010, with early adoption permitted provided that the revised guidance is retroactively applied to the beginning of the year of adoption. The Company does not expect to have a material impact on its consolidated financial position, results of operations or cash flows on adoption of this guidance.</w:t>
      </w:r>
    </w:p>
    <w:p>
      <w:pPr>
        <w:spacing w:after="0" w:line="12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December 2010, the FASB issued ASU 2010-28, the amendments in this update modify Step 1 of the goodwill impairment test for reporting units with zero or negative carrying amounts. For those reporting units, an entity is required to perform Step 2 of the goodwill impairment test if it is more likely than not that a goodwill impairment exists. In determining whether it is more likely than not that a goodwill impairment exists, an entity should consider whether there are any adverse qualitative factors indicating that an impairment may exist. The qualitative factors are consistent with the existing guidance and examples in paragraph 350-20-35-30, which requires that goodwill of a reporting unit be tested for impairment between annual tests if an event occurs or circumstances change that would more likely than not reduce the fair value of a reporting unit below its carrying amount. ASU 2010-28 will be effective for public entities from fiscal years beginning after December 15, 2010 and will be effective for nonpublic entities, for fiscal years beginning after December 15, 2011. Nonpublic entities may early adopt the amendments using the effective date for public entities. The Company does not expect to have a material impact on its consolidated financial position, results of operations and cash flows on adoption of this guidance.</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80" w:right="279" w:bottom="1440" w:gutter="0" w:footer="0" w:header="0"/>
        </w:sectPr>
      </w:pPr>
    </w:p>
    <w:bookmarkStart w:id="21" w:name="page22"/>
    <w:bookmarkEnd w:id="21"/>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Business Process Outsourcing, Inc.</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December 31, 2010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(Dollars in thousands, except per share amounts)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primarily of cash and cash equivalents and client receivables. Cash equivalents have been deposited with highly rated reputable financial institutions. Client receivables are dispersed across many different industries, however the customers are based primarily in the United States. To reduce exposure to client credit risk, the Company often bills its clients in advance. At December 31, 2010 and 2009, two customers accounted for 29% and 26% respectively, of the Company’s accounts receivable.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Advertising costs of $19, $17 and $31 were expensed as incurred for the years ended December 31, 2010, 2009 and 2008, respectively.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October 2009, the Financial Accounting Standards Board (FASB) issued Update No. 2009-13, “Multiple-Deliverable Revenue Arrangements - a consensus of the FASB Emerging Issues Task Force” (ASU 2009-13). It updates the existing multiple-element revenue arrangements guidance currently included under ASC No. 605-25, which originated primarily from the guidance in EITF Issue No. 00-21, “Revenue Arrangements with Multiple Deliverables” (EITF 00-21). The revised guidance primarily provides two significant changes: 1) eliminates the need for objective and reliable evidence of the fair value for the undelivered element in order for a delivered item to be treated as a separate unit of accounting, and 2) eliminates the residual method to allocate the arrangement consideration. In addition, the guidance also expands the disclosure requirements for revenue recognition. ASU 2009-13 will be effective for the first annual reporting period beginning on or after June 15, 2010, with early adoption permitted provided that the revised guidance is retroactively applied to the beginning of the year of adoption. The Company does not expect to have a material impact on its consolidated financial position, results of operations or cash flows on adoption of this guidance.</w:t>
      </w:r>
    </w:p>
    <w:p>
      <w:pPr>
        <w:spacing w:after="0" w:line="12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December 2010, the FASB issued ASU 2010-28, the amendments in this update modify Step 1 of the goodwill impairment test for reporting units with zero or negative carrying amounts. For those reporting units, an entity is required to perform Step 2 of the goodwill impairment test if it is more likely than not that a goodwill impairment exists. In determining whether it is more likely than not that a goodwill impairment exists, an entity should consider whether there are any adverse qualitative factors indicating that an impairment may exist. The qualitative factors are consistent with the existing guidance and examples in paragraph 350-20-35-30, which requires that goodwill of a reporting unit be tested for impairment between annual tests if an event occurs or circumstances change that would more likely than not reduce the fair value of a reporting unit below its carrying amount. ASU 2010-28 will be effective for public entities from fiscal years beginning after December 15, 2010 and will be effective for nonpublic entities, for fiscal years beginning after December 15, 2011. Nonpublic entities may early adopt the amendments using the effective date for public entities. The Company does not expect to have a material impact on its consolidated financial position, results of operations and cash flows on adoption of this guidance.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Restricted Cash</w:t>
      </w:r>
    </w:p>
    <w:p>
      <w:pPr>
        <w:spacing w:after="0" w:line="9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Restricted cash includes certificates of deposit and balances with banks of $124 and $165 at December 31, 2010 and 2009, respectively, which serve as collateral for outstanding letters of credit and bank guarantees issued by the Company for equipment imports, obtaining forward contracts, tax demands and assets held under capital leases. These guarantees expire at various dates between 2011 and 2014.</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Business Combination and Goodwill</w:t>
      </w:r>
    </w:p>
    <w:p>
      <w:pPr>
        <w:spacing w:after="0" w:line="9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In 2002, the Company acquired the business process outsourcing practice of a large public accounting firm. In connection with the acquisition, the Company recorded goodwill for the amount of purchase price paid in excess of the value of the underlying assets. In addition, the Company capitalized as goodwill additional payments made as part of the contingent consideration subsequent to the acquisition date. Contingent consideration payments ceased on February 1, 2007.</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w:t>
      </w:r>
    </w:p>
    <w:p>
      <w:pPr>
        <w:spacing w:after="0" w:line="96" w:lineRule="exact"/>
        <w:rPr>
          <w:sz w:val="20"/>
          <w:szCs w:val="20"/>
          <w:color w:val="auto"/>
        </w:rPr>
      </w:pPr>
    </w:p>
    <w:p>
      <w:pPr>
        <w:ind w:right="260"/>
        <w:spacing w:after="0" w:line="294" w:lineRule="auto"/>
        <w:rPr>
          <w:sz w:val="20"/>
          <w:szCs w:val="20"/>
          <w:color w:val="auto"/>
        </w:rPr>
      </w:pPr>
      <w:r>
        <w:rPr>
          <w:rFonts w:ascii="Arial" w:cs="Arial" w:eastAsia="Arial" w:hAnsi="Arial"/>
          <w:sz w:val="16"/>
          <w:szCs w:val="16"/>
          <w:color w:val="auto"/>
        </w:rPr>
        <w:t>Transfer-pricing regulations require that any international transaction involving associated enterprises be at an arm’s-length price. Transactions among the Company’s subsidiaries and the Company may be considered such transactions. Accordingly, the Company determines the pricing among its associated enterprises on the basis of detailed functional and economic analysis involving benchmarking against transactions among entities that are not under common control. If the applicable income tax authorities review any of the Company’s tax returns and determine that the transfer price applied was not appropriate, the Company may incur increased tax liability, including accrued interest and penalties.</w:t>
      </w:r>
    </w:p>
    <w:p>
      <w:pPr>
        <w:spacing w:after="0" w:line="1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 subsidiary of the Company received an assessment order from the Indian tax authorities with respect to their transfer pricing arrangements. The assessment demands that the subsidiary pay additional taxes in the amount of approximately $217. The subsidiary has applied for a stay of demand with tax authorities while it appeals to the Deputy Commissioner of Income Tax. While under appeal, the Company is required to pay the assessed amount, this amount was deposited with the tax authorities.</w:t>
      </w:r>
    </w:p>
    <w:p>
      <w:pPr>
        <w:spacing w:after="0" w:line="14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Based on advice from its Indian tax advisors, the facts underlying its position and its experience with these types of assessments, the Company believes that the probability of loss is remote and has accordingly not accrued any amount with respect to these matters in its consolidated financial statements. There is a possibility that the Company might receive similar orders for subsequent years until the dispute is resolved. The Company does not expect any impact from these assessments on its future income tax expense.</w:t>
      </w:r>
    </w:p>
    <w:p>
      <w:pPr>
        <w:sectPr>
          <w:pgSz w:w="11900" w:h="16838" w:orient="portrait"/>
          <w:cols w:equalWidth="0" w:num="1">
            <w:col w:w="11380"/>
          </w:cols>
          <w:pgMar w:left="240" w:top="280" w:right="279" w:bottom="1440" w:gutter="0" w:footer="0" w:header="0"/>
        </w:sectPr>
      </w:pP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380"/>
          </w:cols>
          <w:pgMar w:left="240" w:top="280" w:right="279" w:bottom="1440" w:gutter="0" w:footer="0" w:header="0"/>
          <w:type w:val="continuous"/>
        </w:sectPr>
      </w:pPr>
    </w:p>
    <w:bookmarkStart w:id="22" w:name="page23"/>
    <w:bookmarkEnd w:id="22"/>
    <w:p>
      <w:pPr>
        <w:jc w:val="center"/>
        <w:ind w:right="-12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Business Process Outsourcing, Inc.</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December 31, 2010</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i w:val="1"/>
          <w:iCs w:val="1"/>
          <w:color w:val="auto"/>
        </w:rPr>
        <w:t>(Dollars in thousands, except per share amounts)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Property and equipment, net of accumulated depreciation consisted of the following:</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780" w:type="dxa"/>
            <w:vAlign w:val="bottom"/>
            <w:tcBorders>
              <w:bottom w:val="single" w:sz="8" w:color="CCEEFF"/>
            </w:tcBorders>
          </w:tcPr>
          <w:p>
            <w:pPr>
              <w:spacing w:after="0"/>
              <w:rPr>
                <w:sz w:val="14"/>
                <w:szCs w:val="14"/>
                <w:color w:val="auto"/>
              </w:rPr>
            </w:pPr>
          </w:p>
        </w:tc>
        <w:tc>
          <w:tcPr>
            <w:tcW w:w="20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2010</w:t>
            </w:r>
          </w:p>
        </w:tc>
        <w:tc>
          <w:tcPr>
            <w:tcW w:w="3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2009</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Owned assets:</w:t>
            </w:r>
          </w:p>
        </w:tc>
        <w:tc>
          <w:tcPr>
            <w:tcW w:w="2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440"/>
              <w:spacing w:after="0"/>
              <w:rPr>
                <w:sz w:val="20"/>
                <w:szCs w:val="20"/>
                <w:color w:val="auto"/>
              </w:rPr>
            </w:pPr>
            <w:r>
              <w:rPr>
                <w:rFonts w:ascii="Arial" w:cs="Arial" w:eastAsia="Arial" w:hAnsi="Arial"/>
                <w:sz w:val="18"/>
                <w:szCs w:val="18"/>
                <w:color w:val="auto"/>
              </w:rPr>
              <w:t>Furniture and fixtures</w:t>
            </w:r>
          </w:p>
        </w:tc>
        <w:tc>
          <w:tcPr>
            <w:tcW w:w="2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309</w:t>
            </w:r>
          </w:p>
        </w:tc>
        <w:tc>
          <w:tcPr>
            <w:tcW w:w="32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Leasehold improvements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440"/>
              <w:spacing w:after="0"/>
              <w:rPr>
                <w:sz w:val="20"/>
                <w:szCs w:val="20"/>
                <w:color w:val="auto"/>
              </w:rPr>
            </w:pPr>
            <w:r>
              <w:rPr>
                <w:rFonts w:ascii="Arial" w:cs="Arial" w:eastAsia="Arial" w:hAnsi="Arial"/>
                <w:sz w:val="18"/>
                <w:szCs w:val="18"/>
                <w:color w:val="auto"/>
              </w:rPr>
              <w:t>Computer hardware</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1,040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Computer software</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440"/>
              <w:spacing w:after="0"/>
              <w:rPr>
                <w:sz w:val="20"/>
                <w:szCs w:val="20"/>
                <w:color w:val="auto"/>
              </w:rPr>
            </w:pPr>
            <w:r>
              <w:rPr>
                <w:rFonts w:ascii="Arial" w:cs="Arial" w:eastAsia="Arial" w:hAnsi="Arial"/>
                <w:sz w:val="18"/>
                <w:szCs w:val="18"/>
                <w:color w:val="auto"/>
              </w:rPr>
              <w:t>Office equipment and machinery</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902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Vehicles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80" w:type="dxa"/>
            <w:vAlign w:val="bottom"/>
          </w:tcPr>
          <w:p>
            <w:pPr>
              <w:ind w:left="440"/>
              <w:spacing w:after="0"/>
              <w:rPr>
                <w:sz w:val="20"/>
                <w:szCs w:val="20"/>
                <w:color w:val="auto"/>
              </w:rPr>
            </w:pPr>
            <w:r>
              <w:rPr>
                <w:rFonts w:ascii="Arial" w:cs="Arial" w:eastAsia="Arial" w:hAnsi="Arial"/>
                <w:sz w:val="18"/>
                <w:szCs w:val="18"/>
                <w:color w:val="auto"/>
              </w:rPr>
              <w:t>Capital work in progress</w:t>
            </w: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1,101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5,143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440"/>
              <w:spacing w:after="0"/>
              <w:rPr>
                <w:sz w:val="20"/>
                <w:szCs w:val="20"/>
                <w:color w:val="auto"/>
              </w:rPr>
            </w:pPr>
            <w:r>
              <w:rPr>
                <w:rFonts w:ascii="Arial" w:cs="Arial" w:eastAsia="Arial" w:hAnsi="Arial"/>
                <w:sz w:val="18"/>
                <w:szCs w:val="18"/>
                <w:color w:val="auto"/>
              </w:rPr>
              <w:t>Less accumulated depreciation</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1"/>
              </w:rPr>
              <w:t>(2,425)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(1,721)</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8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2,718</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Assets under capital leases:</w:t>
            </w:r>
          </w:p>
        </w:tc>
        <w:tc>
          <w:tcPr>
            <w:tcW w:w="2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80" w:type="dxa"/>
            <w:vAlign w:val="bottom"/>
            <w:vMerge w:val="continue"/>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Furniture and fixtures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440"/>
              <w:spacing w:after="0"/>
              <w:rPr>
                <w:sz w:val="20"/>
                <w:szCs w:val="20"/>
                <w:color w:val="auto"/>
              </w:rPr>
            </w:pPr>
            <w:r>
              <w:rPr>
                <w:rFonts w:ascii="Arial" w:cs="Arial" w:eastAsia="Arial" w:hAnsi="Arial"/>
                <w:sz w:val="18"/>
                <w:szCs w:val="18"/>
                <w:color w:val="auto"/>
              </w:rPr>
              <w:t>Leasehold improvements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4,401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4,638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Computer hardware</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2,784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440"/>
              <w:spacing w:after="0"/>
              <w:rPr>
                <w:sz w:val="20"/>
                <w:szCs w:val="20"/>
                <w:color w:val="auto"/>
              </w:rPr>
            </w:pPr>
            <w:r>
              <w:rPr>
                <w:rFonts w:ascii="Arial" w:cs="Arial" w:eastAsia="Arial" w:hAnsi="Arial"/>
                <w:sz w:val="18"/>
                <w:szCs w:val="18"/>
                <w:color w:val="auto"/>
              </w:rPr>
              <w:t>Computer software</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688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Office equipment and machinery</w:t>
            </w:r>
          </w:p>
        </w:tc>
        <w:tc>
          <w:tcPr>
            <w:tcW w:w="20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4,650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3"/>
              </w:rPr>
              <w:t>12,640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11,805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accumulated depreciation</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1"/>
              </w:rPr>
              <w:t>(5,284)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(4,067)</w:t>
            </w:r>
          </w:p>
        </w:tc>
        <w:tc>
          <w:tcPr>
            <w:tcW w:w="0" w:type="dxa"/>
            <w:vAlign w:val="bottom"/>
          </w:tcPr>
          <w:p>
            <w:pPr>
              <w:spacing w:after="0"/>
              <w:rPr>
                <w:sz w:val="1"/>
                <w:szCs w:val="1"/>
                <w:color w:val="auto"/>
              </w:rPr>
            </w:pPr>
          </w:p>
        </w:tc>
      </w:tr>
      <w:tr>
        <w:trPr>
          <w:trHeight w:val="223"/>
        </w:trPr>
        <w:tc>
          <w:tcPr>
            <w:tcW w:w="47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7,356</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and equipment, net</w:t>
            </w:r>
          </w:p>
        </w:tc>
        <w:tc>
          <w:tcPr>
            <w:tcW w:w="2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10,074</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$3,589, $3,564 and $3,159 for the years ended December 31, 2010, 2009 and 2008, respectively.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219"/>
          </w:cols>
          <w:pgMar w:left="240" w:top="280" w:right="1440" w:bottom="1440" w:gutter="0" w:footer="0" w:header="0"/>
        </w:sectPr>
      </w:pPr>
    </w:p>
    <w:bookmarkStart w:id="23" w:name="page24"/>
    <w:bookmarkEnd w:id="23"/>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Business Process Outsourcing, Inc.</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December 31, 2010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(Dollars in thousands, except per share amounts)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 and Lease Commitments</w:t>
      </w:r>
    </w:p>
    <w:p>
      <w:pPr>
        <w:spacing w:after="0" w:line="9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 Company finances its use of certain facilities, computer hardware, leasehold improvements, furniture, fixtures, and office equipment under various lease arrangements provided by financial institutions. The future minimum lease payments, by year and in the aggregate, under capital leases and under non-cancelable operating leases with initial or remaining non-cancelable lease terms in excess of one year, consisted of the following at December 31, 2010:</w:t>
      </w:r>
    </w:p>
    <w:p>
      <w:pPr>
        <w:spacing w:after="0" w:line="1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Capital</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87"/>
              </w:rPr>
              <w:t>Non-cancelable Operating</w:t>
            </w:r>
          </w:p>
        </w:tc>
      </w:tr>
      <w:tr>
        <w:trPr>
          <w:trHeight w:val="161"/>
        </w:trPr>
        <w:tc>
          <w:tcPr>
            <w:tcW w:w="6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14"/>
              <w:spacing w:after="0"/>
              <w:rPr>
                <w:sz w:val="20"/>
                <w:szCs w:val="20"/>
                <w:color w:val="auto"/>
              </w:rPr>
            </w:pPr>
            <w:r>
              <w:rPr>
                <w:rFonts w:ascii="Arial" w:cs="Arial" w:eastAsia="Arial" w:hAnsi="Arial"/>
                <w:sz w:val="14"/>
                <w:szCs w:val="14"/>
                <w:b w:val="1"/>
                <w:bCs w:val="1"/>
                <w:color w:val="auto"/>
                <w:w w:val="75"/>
              </w:rPr>
              <w:t>Leases</w:t>
            </w:r>
          </w:p>
        </w:tc>
        <w:tc>
          <w:tcPr>
            <w:tcW w:w="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79"/>
              </w:rPr>
              <w:t>Leases</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6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4"/>
                <w:szCs w:val="14"/>
                <w:b w:val="1"/>
                <w:bCs w:val="1"/>
                <w:color w:val="auto"/>
                <w:w w:val="91"/>
              </w:rPr>
              <w:t>Sublease</w:t>
            </w:r>
          </w:p>
        </w:tc>
        <w:tc>
          <w:tcPr>
            <w:tcW w:w="100" w:type="dxa"/>
            <w:vAlign w:val="bottom"/>
          </w:tcPr>
          <w:p>
            <w:pPr>
              <w:spacing w:after="0"/>
              <w:rPr>
                <w:sz w:val="11"/>
                <w:szCs w:val="11"/>
                <w:color w:val="auto"/>
              </w:rPr>
            </w:pPr>
          </w:p>
        </w:tc>
      </w:tr>
      <w:tr>
        <w:trPr>
          <w:trHeight w:val="161"/>
        </w:trPr>
        <w:tc>
          <w:tcPr>
            <w:tcW w:w="6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gridSpan w:val="3"/>
          </w:tcPr>
          <w:p>
            <w:pPr>
              <w:ind w:left="80"/>
              <w:spacing w:after="0"/>
              <w:rPr>
                <w:sz w:val="20"/>
                <w:szCs w:val="20"/>
                <w:color w:val="auto"/>
              </w:rPr>
            </w:pPr>
            <w:r>
              <w:rPr>
                <w:rFonts w:ascii="Arial" w:cs="Arial" w:eastAsia="Arial" w:hAnsi="Arial"/>
                <w:sz w:val="14"/>
                <w:szCs w:val="14"/>
                <w:b w:val="1"/>
                <w:bCs w:val="1"/>
                <w:color w:val="auto"/>
              </w:rPr>
              <w:t>Expense</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Income</w:t>
            </w:r>
          </w:p>
        </w:tc>
      </w:tr>
      <w:tr>
        <w:trPr>
          <w:trHeight w:val="196"/>
        </w:trPr>
        <w:tc>
          <w:tcPr>
            <w:tcW w:w="6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Year ending December 31,</w:t>
            </w: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2011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3,161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4,467</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ind w:left="320"/>
              <w:spacing w:after="0"/>
              <w:rPr>
                <w:sz w:val="20"/>
                <w:szCs w:val="20"/>
                <w:color w:val="auto"/>
              </w:rPr>
            </w:pPr>
            <w:r>
              <w:rPr>
                <w:rFonts w:ascii="Arial" w:cs="Arial" w:eastAsia="Arial" w:hAnsi="Arial"/>
                <w:sz w:val="18"/>
                <w:szCs w:val="18"/>
                <w:color w:val="auto"/>
                <w:w w:val="79"/>
              </w:rPr>
              <w:t>509</w:t>
            </w:r>
          </w:p>
        </w:tc>
        <w:tc>
          <w:tcPr>
            <w:tcW w:w="10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3,763</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2,008</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3,797</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4,070</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1,235</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3,561</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Beyond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1,254</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22"/>
        </w:trPr>
        <w:tc>
          <w:tcPr>
            <w:tcW w:w="6380" w:type="dxa"/>
            <w:vAlign w:val="bottom"/>
          </w:tcPr>
          <w:p>
            <w:pPr>
              <w:spacing w:after="0"/>
              <w:rPr>
                <w:sz w:val="20"/>
                <w:szCs w:val="20"/>
                <w:color w:val="auto"/>
              </w:rPr>
            </w:pPr>
            <w:r>
              <w:rPr>
                <w:rFonts w:ascii="Arial" w:cs="Arial" w:eastAsia="Arial" w:hAnsi="Arial"/>
                <w:sz w:val="18"/>
                <w:szCs w:val="18"/>
                <w:color w:val="auto"/>
              </w:rPr>
              <w:t>Total minimum payments</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10,564</w:t>
            </w:r>
          </w:p>
        </w:tc>
        <w:tc>
          <w:tcPr>
            <w:tcW w:w="6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Less amount representing interest</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6380" w:type="dxa"/>
            <w:vAlign w:val="bottom"/>
          </w:tcPr>
          <w:p>
            <w:pPr>
              <w:spacing w:after="0"/>
              <w:rPr>
                <w:sz w:val="20"/>
                <w:szCs w:val="20"/>
                <w:color w:val="auto"/>
              </w:rPr>
            </w:pPr>
            <w:r>
              <w:rPr>
                <w:rFonts w:ascii="Arial" w:cs="Arial" w:eastAsia="Arial" w:hAnsi="Arial"/>
                <w:sz w:val="18"/>
                <w:szCs w:val="18"/>
                <w:color w:val="auto"/>
              </w:rPr>
              <w:t>Present value of minimum lease payments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8,638</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2,448</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6380" w:type="dxa"/>
            <w:vAlign w:val="bottom"/>
          </w:tcPr>
          <w:p>
            <w:pPr>
              <w:spacing w:after="0"/>
              <w:rPr>
                <w:sz w:val="20"/>
                <w:szCs w:val="20"/>
                <w:color w:val="auto"/>
              </w:rPr>
            </w:pPr>
            <w:r>
              <w:rPr>
                <w:rFonts w:ascii="Arial" w:cs="Arial" w:eastAsia="Arial" w:hAnsi="Arial"/>
                <w:sz w:val="18"/>
                <w:szCs w:val="18"/>
                <w:color w:val="auto"/>
              </w:rPr>
              <w:t>Long-term capital lease obligations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6,190</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6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Rental expense under operating leases was approximately $6,360, $6,029 and $4,699 for the years ended December 31, 2010, 2009 and 2008,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Sublease income of $1,036, $801 and $432 for the years ended December 31, 2010, 2009 and 2008, respectively, is included in other income.</w:t>
      </w:r>
    </w:p>
    <w:p>
      <w:pPr>
        <w:spacing w:after="0" w:line="16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has sub-leased property and equipment under capital leases and recognized as a receivable an amount equal to the net investment in the sub-lease. Lease rentals are apportioned between principal and interest at the rate implicit to the lease. The principal amount received reduces the net investment in lease, which is recorded in other assets in the Consolidated Balance Sheets and the interest is recognized as other income. Initial direct costs such as legal and brokerage costs, are recognized immediately in the statements of operations.</w:t>
      </w:r>
    </w:p>
    <w:p>
      <w:pPr>
        <w:spacing w:after="0" w:line="19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3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2011</w:t>
            </w:r>
          </w:p>
        </w:tc>
        <w:tc>
          <w:tcPr>
            <w:tcW w:w="4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Gross investment in capital lease</w:t>
            </w:r>
          </w:p>
        </w:tc>
        <w:tc>
          <w:tcPr>
            <w:tcW w:w="394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Less deferred income</w:t>
            </w:r>
          </w:p>
        </w:tc>
        <w:tc>
          <w:tcPr>
            <w:tcW w:w="394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 capital lease</w:t>
            </w:r>
          </w:p>
        </w:tc>
        <w:tc>
          <w:tcPr>
            <w:tcW w:w="4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Less current portion</w:t>
            </w:r>
          </w:p>
        </w:tc>
        <w:tc>
          <w:tcPr>
            <w:tcW w:w="394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 capital lease, long-term</w:t>
            </w:r>
          </w:p>
        </w:tc>
        <w:tc>
          <w:tcPr>
            <w:tcW w:w="4400" w:type="dxa"/>
            <w:vAlign w:val="bottom"/>
            <w:gridSpan w:val="3"/>
            <w:shd w:val="clear" w:color="auto" w:fill="CCEEFF"/>
          </w:tcPr>
          <w:p>
            <w:pPr>
              <w:ind w:left="3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bottom w:val="single" w:sz="8" w:color="CCEEFF"/>
            </w:tcBorders>
            <w:vMerge w:val="restart"/>
          </w:tcPr>
          <w:p>
            <w:pPr>
              <w:jc w:val="right"/>
              <w:ind w:right="3252"/>
              <w:spacing w:after="0"/>
              <w:rPr>
                <w:sz w:val="20"/>
                <w:szCs w:val="20"/>
                <w:color w:val="auto"/>
              </w:rPr>
            </w:pPr>
            <w:r>
              <w:rPr>
                <w:rFonts w:ascii="Arial" w:cs="Arial" w:eastAsia="Arial" w:hAnsi="Arial"/>
                <w:sz w:val="18"/>
                <w:szCs w:val="18"/>
                <w:color w:val="auto"/>
              </w:rPr>
              <w:t>18</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9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80" w:right="259" w:bottom="1440" w:gutter="0" w:footer="0" w:header="0"/>
        </w:sectPr>
      </w:pPr>
    </w:p>
    <w:bookmarkStart w:id="24" w:name="page25"/>
    <w:bookmarkEnd w:id="24"/>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Business Process Outsourcing, Inc.</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December 31, 2010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(Dollars in thousands, except per share amounts)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income (loss) before income taxes from continuing operations are as follows: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20" w:type="dxa"/>
            <w:vAlign w:val="bottom"/>
            <w:gridSpan w:val="4"/>
          </w:tcPr>
          <w:p>
            <w:pPr>
              <w:jc w:val="right"/>
              <w:spacing w:after="0"/>
              <w:rPr>
                <w:sz w:val="20"/>
                <w:szCs w:val="20"/>
                <w:color w:val="auto"/>
              </w:rPr>
            </w:pPr>
            <w:r>
              <w:rPr>
                <w:rFonts w:ascii="Arial" w:cs="Arial" w:eastAsia="Arial" w:hAnsi="Arial"/>
                <w:sz w:val="14"/>
                <w:szCs w:val="14"/>
                <w:b w:val="1"/>
                <w:bCs w:val="1"/>
                <w:color w:val="auto"/>
                <w:w w:val="85"/>
              </w:rPr>
              <w:t>Year ended December 31,</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7000" w:type="dxa"/>
            <w:vAlign w:val="bottom"/>
          </w:tcPr>
          <w:p>
            <w:pPr>
              <w:spacing w:after="0"/>
              <w:rPr>
                <w:sz w:val="14"/>
                <w:szCs w:val="14"/>
                <w:color w:val="auto"/>
              </w:rPr>
            </w:pPr>
          </w:p>
        </w:tc>
        <w:tc>
          <w:tcPr>
            <w:tcW w:w="500" w:type="dxa"/>
            <w:vAlign w:val="bottom"/>
          </w:tcPr>
          <w:p>
            <w:pPr>
              <w:jc w:val="right"/>
              <w:ind w:right="37"/>
              <w:spacing w:after="0"/>
              <w:rPr>
                <w:sz w:val="20"/>
                <w:szCs w:val="20"/>
                <w:color w:val="auto"/>
              </w:rPr>
            </w:pPr>
            <w:r>
              <w:rPr>
                <w:rFonts w:ascii="Arial" w:cs="Arial" w:eastAsia="Arial" w:hAnsi="Arial"/>
                <w:sz w:val="14"/>
                <w:szCs w:val="14"/>
                <w:b w:val="1"/>
                <w:bCs w:val="1"/>
                <w:color w:val="auto"/>
              </w:rPr>
              <w:t>2010</w:t>
            </w:r>
          </w:p>
        </w:tc>
        <w:tc>
          <w:tcPr>
            <w:tcW w:w="96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57"/>
              <w:spacing w:after="0"/>
              <w:rPr>
                <w:sz w:val="20"/>
                <w:szCs w:val="20"/>
                <w:color w:val="auto"/>
              </w:rPr>
            </w:pPr>
            <w:r>
              <w:rPr>
                <w:rFonts w:ascii="Arial" w:cs="Arial" w:eastAsia="Arial" w:hAnsi="Arial"/>
                <w:sz w:val="14"/>
                <w:szCs w:val="14"/>
                <w:b w:val="1"/>
                <w:bCs w:val="1"/>
                <w:color w:val="auto"/>
                <w:w w:val="96"/>
              </w:rPr>
              <w:t>2008</w:t>
            </w:r>
          </w:p>
        </w:tc>
        <w:tc>
          <w:tcPr>
            <w:tcW w:w="100" w:type="dxa"/>
            <w:vAlign w:val="bottom"/>
          </w:tcPr>
          <w:p>
            <w:pPr>
              <w:spacing w:after="0"/>
              <w:rPr>
                <w:sz w:val="14"/>
                <w:szCs w:val="14"/>
                <w:color w:val="auto"/>
              </w:rPr>
            </w:pPr>
          </w:p>
        </w:tc>
      </w:tr>
      <w:tr>
        <w:trPr>
          <w:trHeight w:val="210"/>
        </w:trPr>
        <w:tc>
          <w:tcPr>
            <w:tcW w:w="7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U.S.</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$1,535</w:t>
            </w:r>
          </w:p>
        </w:tc>
        <w:tc>
          <w:tcPr>
            <w:tcW w:w="4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$1,274</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(4,181)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7000" w:type="dxa"/>
            <w:vAlign w:val="bottom"/>
          </w:tcPr>
          <w:p>
            <w:pPr>
              <w:spacing w:after="0"/>
              <w:rPr>
                <w:sz w:val="20"/>
                <w:szCs w:val="20"/>
                <w:color w:val="auto"/>
              </w:rPr>
            </w:pPr>
            <w:r>
              <w:rPr>
                <w:rFonts w:ascii="Arial" w:cs="Arial" w:eastAsia="Arial" w:hAnsi="Arial"/>
                <w:sz w:val="18"/>
                <w:szCs w:val="18"/>
                <w:color w:val="auto"/>
              </w:rPr>
              <w:t>Non-U.S.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5,185</w:t>
            </w:r>
          </w:p>
        </w:tc>
        <w:tc>
          <w:tcPr>
            <w:tcW w:w="4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4,370</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4,304</w:t>
            </w:r>
          </w:p>
        </w:tc>
        <w:tc>
          <w:tcPr>
            <w:tcW w:w="100" w:type="dxa"/>
            <w:vAlign w:val="bottom"/>
          </w:tcPr>
          <w:p>
            <w:pPr>
              <w:spacing w:after="0"/>
              <w:rPr>
                <w:sz w:val="19"/>
                <w:szCs w:val="19"/>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6,720</w:t>
            </w: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5,644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r>
      <w:tr>
        <w:trPr>
          <w:trHeight w:val="20"/>
        </w:trPr>
        <w:tc>
          <w:tcPr>
            <w:tcW w:w="70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Under the Indian Income Tax Act, a substantial portion of the profits of the Company's Indian operations is exempt from Indian income tax. The Indian tax year ends on March 31. This holiday is available for a period of ten consecutive years beginning in the year in which the respective Indian undertaking commenced operations but in no case extending beyond March 31, 2011, as extended by the Indian Government on August 19, 2009.</w:t>
      </w:r>
    </w:p>
    <w:p>
      <w:pPr>
        <w:spacing w:after="0" w:line="107" w:lineRule="exact"/>
        <w:rPr>
          <w:sz w:val="20"/>
          <w:szCs w:val="20"/>
          <w:color w:val="auto"/>
        </w:rPr>
      </w:pPr>
    </w:p>
    <w:p>
      <w:pPr>
        <w:ind w:right="620"/>
        <w:spacing w:after="0" w:line="256" w:lineRule="auto"/>
        <w:rPr>
          <w:sz w:val="20"/>
          <w:szCs w:val="20"/>
          <w:color w:val="auto"/>
        </w:rPr>
      </w:pPr>
      <w:r>
        <w:rPr>
          <w:rFonts w:ascii="Arial" w:cs="Arial" w:eastAsia="Arial" w:hAnsi="Arial"/>
          <w:sz w:val="18"/>
          <w:szCs w:val="18"/>
          <w:color w:val="auto"/>
        </w:rPr>
        <w:t>During 2007, the Company commenced operations in a new subsidiary in India. Profit of the subsidiary is tax exempt because its profit is attributable to undertakings situated in Special Economic Zones. This exemption is available for a period of 15 consecutive years, wherein the profits would be taxed at graduated higher rates after completion of initial 5 years under the tax scheme and upon fulfillment of the conditions specified in the law governing the exemption.</w:t>
      </w:r>
    </w:p>
    <w:p>
      <w:pPr>
        <w:spacing w:after="0" w:line="14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Company has foreign net operating loss carry forwards of $827 to offset future foreign taxable income, and can be carried forward for a period of 8 years. U.S. Federal net operating loss carry forwards of $27,211 may be used to offset future taxable income and will begin to expire in 2022. Pursuant to changes in the Indian Income Tax Act from April 1, 2007, the Company has calculated its tax liability after considering the Minimum Alternate Tax (“MAT”). The MAT can be carried forward and set off against future tax liabilities and will begin to expire in 2013. Based on the business projections made by the management, the Company expects to set off the MAT with it future tax liabilities.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280" w:right="279" w:bottom="1440" w:gutter="0" w:footer="0" w:header="0"/>
        </w:sectPr>
      </w:pPr>
    </w:p>
    <w:bookmarkStart w:id="25" w:name="page26"/>
    <w:bookmarkEnd w:id="25"/>
    <w:p>
      <w:pPr>
        <w:jc w:val="center"/>
        <w:ind w:right="-3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Business Process Outsourcing, Inc.</w:t>
      </w:r>
    </w:p>
    <w:p>
      <w:pPr>
        <w:spacing w:after="0" w:line="1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December 31, 2010</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i w:val="1"/>
          <w:iCs w:val="1"/>
          <w:color w:val="auto"/>
        </w:rPr>
        <w:t>(Dollars in thousands, except per share amounts)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deferred tax balances as of December 31, 2010 and 2009 are as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40" w:type="dxa"/>
            <w:vAlign w:val="bottom"/>
            <w:tcBorders>
              <w:bottom w:val="single" w:sz="8" w:color="CCEEFF"/>
            </w:tcBorders>
          </w:tcPr>
          <w:p>
            <w:pPr>
              <w:spacing w:after="0"/>
              <w:rPr>
                <w:sz w:val="14"/>
                <w:szCs w:val="14"/>
                <w:color w:val="auto"/>
              </w:rPr>
            </w:pPr>
          </w:p>
        </w:tc>
        <w:tc>
          <w:tcPr>
            <w:tcW w:w="15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2010</w:t>
            </w:r>
          </w:p>
        </w:tc>
        <w:tc>
          <w:tcPr>
            <w:tcW w:w="3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2009</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Deferred tax assets:</w:t>
            </w: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rPr>
              <w:t>Net operating loss carry forwards</w:t>
            </w: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9,973</w:t>
            </w:r>
          </w:p>
        </w:tc>
        <w:tc>
          <w:tcPr>
            <w:tcW w:w="36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10,414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 credit carry forward</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rPr>
              <w:t>Accrued liabilities and other expenses</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449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debts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382</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options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rPr>
              <w:t>Minimum alternate tax credit carry forward</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529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Contributions</w:t>
            </w:r>
          </w:p>
        </w:tc>
        <w:tc>
          <w:tcPr>
            <w:tcW w:w="15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60" w:type="dxa"/>
            <w:vAlign w:val="bottom"/>
            <w:gridSpan w:val="2"/>
          </w:tcPr>
          <w:p>
            <w:pPr>
              <w:spacing w:after="0"/>
              <w:rPr>
                <w:sz w:val="20"/>
                <w:szCs w:val="20"/>
                <w:color w:val="auto"/>
              </w:rPr>
            </w:pPr>
            <w:r>
              <w:rPr>
                <w:rFonts w:ascii="Arial" w:cs="Arial" w:eastAsia="Arial" w:hAnsi="Arial"/>
                <w:sz w:val="18"/>
                <w:szCs w:val="18"/>
                <w:b w:val="1"/>
                <w:bCs w:val="1"/>
                <w:color w:val="auto"/>
              </w:rPr>
              <w:t>Total deferred tax asset</w:t>
            </w: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98"/>
              </w:rPr>
              <w:t>11,966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12,330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50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liability:</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rPr>
              <w:t>Amortization of goodwill</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(299)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deferred tax liability</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(299)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323"/>
        </w:trPr>
        <w:tc>
          <w:tcPr>
            <w:tcW w:w="5060" w:type="dxa"/>
            <w:vAlign w:val="bottom"/>
            <w:gridSpan w:val="2"/>
          </w:tcPr>
          <w:p>
            <w:pPr>
              <w:spacing w:after="0"/>
              <w:rPr>
                <w:sz w:val="20"/>
                <w:szCs w:val="20"/>
                <w:color w:val="auto"/>
              </w:rPr>
            </w:pPr>
            <w:r>
              <w:rPr>
                <w:rFonts w:ascii="Arial" w:cs="Arial" w:eastAsia="Arial" w:hAnsi="Arial"/>
                <w:sz w:val="18"/>
                <w:szCs w:val="18"/>
                <w:color w:val="auto"/>
              </w:rPr>
              <w:t>Less valuation allowance</w:t>
            </w: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9"/>
              </w:rPr>
              <w:t>(10,930)</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(11,313)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737</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net change in the total valuation allowance for each of the years ended December 31, 2010 and 2009 was a decrease of $383 and of $535, respectively. In assessing the realization of deferred tax assets, management considers whether it is more likely than not that some or all of the deferred tax assets will not be realized. The ultimate realization of deferred tax assets depends on the generation of future taxable income during the periods in which those temporary differences are deductible. Management considers the scheduled reversal of deferred tax liabilities, projected taxable income, and tax planning strategies in making this assessment. In order to fully realize the deferred tax asset, the Company will need to generate future taxable income prior to the expiration of the deferred tax asset governed by the tax code. Management believes that under the current circumstances, it is more likely than not that the Company will not realize the benefits of these deductible differences, net of the existing valuation allowance at December 31, 2010.</w:t>
      </w:r>
    </w:p>
    <w:p>
      <w:pPr>
        <w:spacing w:after="0" w:line="11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provision for income taxes differs from the amount of income tax determined by applying the applicable U.S. statutory federal income tax rate to income before taxes, primarily as a result of geographical distribution of its income.</w:t>
      </w:r>
    </w:p>
    <w:p>
      <w:pPr>
        <w:spacing w:after="0" w:line="11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00"/>
          </w:cols>
          <w:pgMar w:left="240" w:top="280" w:right="559" w:bottom="1440" w:gutter="0" w:footer="0" w:header="0"/>
        </w:sectPr>
      </w:pPr>
    </w:p>
    <w:bookmarkStart w:id="26" w:name="page27"/>
    <w:bookmarkEnd w:id="26"/>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Business Process Outsourcing, Inc.</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December 31, 2010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(Dollars in thousands, except per share amounts)</w:t>
      </w:r>
    </w:p>
    <w:p>
      <w:pPr>
        <w:spacing w:after="0" w:line="15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As of December 31, 2010, the Company had deferred tax assets of $9,973 against net operating loss carry forwards. Operating losses of subsidiaries in India can be carried forward for a period of eight years. The losses expire in the amounts shown below in the following years: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U.S</w:t>
            </w:r>
          </w:p>
        </w:tc>
        <w:tc>
          <w:tcPr>
            <w:tcW w:w="460" w:type="dxa"/>
            <w:vAlign w:val="bottom"/>
            <w:gridSpan w:val="2"/>
          </w:tcPr>
          <w:p>
            <w:pPr>
              <w:ind w:left="20"/>
              <w:spacing w:after="0"/>
              <w:rPr>
                <w:sz w:val="20"/>
                <w:szCs w:val="20"/>
                <w:color w:val="auto"/>
              </w:rPr>
            </w:pPr>
            <w:r>
              <w:rPr>
                <w:rFonts w:ascii="Arial" w:cs="Arial" w:eastAsia="Arial" w:hAnsi="Arial"/>
                <w:sz w:val="14"/>
                <w:szCs w:val="14"/>
                <w:b w:val="1"/>
                <w:bCs w:val="1"/>
                <w:color w:val="auto"/>
              </w:rPr>
              <w:t>India</w:t>
            </w:r>
          </w:p>
        </w:tc>
      </w:tr>
      <w:tr>
        <w:trPr>
          <w:trHeight w:val="196"/>
        </w:trPr>
        <w:tc>
          <w:tcPr>
            <w:tcW w:w="4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Year ending December 31:</w:t>
            </w:r>
          </w:p>
        </w:tc>
        <w:tc>
          <w:tcPr>
            <w:tcW w:w="2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2018</w:t>
            </w:r>
          </w:p>
        </w:tc>
        <w:tc>
          <w:tcPr>
            <w:tcW w:w="2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$275</w:t>
            </w: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4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2023</w:t>
            </w: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1,895</w:t>
            </w:r>
          </w:p>
        </w:tc>
        <w:tc>
          <w:tcPr>
            <w:tcW w:w="440" w:type="dxa"/>
            <w:vAlign w:val="bottom"/>
          </w:tcPr>
          <w:p>
            <w:pPr>
              <w:spacing w:after="0"/>
              <w:rPr>
                <w:sz w:val="18"/>
                <w:szCs w:val="18"/>
                <w:color w:val="auto"/>
              </w:rPr>
            </w:pPr>
          </w:p>
        </w:tc>
        <w:tc>
          <w:tcPr>
            <w:tcW w:w="4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1,906</w:t>
            </w:r>
          </w:p>
        </w:tc>
        <w:tc>
          <w:tcPr>
            <w:tcW w:w="4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2025</w:t>
            </w: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1,383</w:t>
            </w:r>
          </w:p>
        </w:tc>
        <w:tc>
          <w:tcPr>
            <w:tcW w:w="440" w:type="dxa"/>
            <w:vAlign w:val="bottom"/>
          </w:tcPr>
          <w:p>
            <w:pPr>
              <w:spacing w:after="0"/>
              <w:rPr>
                <w:sz w:val="18"/>
                <w:szCs w:val="18"/>
                <w:color w:val="auto"/>
              </w:rPr>
            </w:pPr>
          </w:p>
        </w:tc>
        <w:tc>
          <w:tcPr>
            <w:tcW w:w="4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1,029</w:t>
            </w:r>
          </w:p>
        </w:tc>
        <w:tc>
          <w:tcPr>
            <w:tcW w:w="4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2027</w:t>
            </w: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1,409</w:t>
            </w:r>
          </w:p>
        </w:tc>
        <w:tc>
          <w:tcPr>
            <w:tcW w:w="440" w:type="dxa"/>
            <w:vAlign w:val="bottom"/>
          </w:tcPr>
          <w:p>
            <w:pPr>
              <w:spacing w:after="0"/>
              <w:rPr>
                <w:sz w:val="18"/>
                <w:szCs w:val="18"/>
                <w:color w:val="auto"/>
              </w:rPr>
            </w:pPr>
          </w:p>
        </w:tc>
        <w:tc>
          <w:tcPr>
            <w:tcW w:w="4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2028</w:t>
            </w:r>
          </w:p>
        </w:tc>
        <w:tc>
          <w:tcPr>
            <w:tcW w:w="2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1,593</w:t>
            </w:r>
          </w:p>
        </w:tc>
        <w:tc>
          <w:tcPr>
            <w:tcW w:w="4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r>
      <w:tr>
        <w:trPr>
          <w:trHeight w:val="222"/>
        </w:trPr>
        <w:tc>
          <w:tcPr>
            <w:tcW w:w="4580" w:type="dxa"/>
            <w:vAlign w:val="bottom"/>
          </w:tcPr>
          <w:p>
            <w:pPr>
              <w:spacing w:after="0"/>
              <w:rPr>
                <w:sz w:val="19"/>
                <w:szCs w:val="19"/>
                <w:color w:val="auto"/>
              </w:rPr>
            </w:pPr>
          </w:p>
        </w:tc>
        <w:tc>
          <w:tcPr>
            <w:tcW w:w="28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9,698</w:t>
            </w:r>
          </w:p>
        </w:tc>
        <w:tc>
          <w:tcPr>
            <w:tcW w:w="440" w:type="dxa"/>
            <w:vAlign w:val="bottom"/>
          </w:tcPr>
          <w:p>
            <w:pPr>
              <w:spacing w:after="0"/>
              <w:rPr>
                <w:sz w:val="19"/>
                <w:szCs w:val="19"/>
                <w:color w:val="auto"/>
              </w:rPr>
            </w:pPr>
          </w:p>
        </w:tc>
        <w:tc>
          <w:tcPr>
            <w:tcW w:w="360" w:type="dxa"/>
            <w:vAlign w:val="bottom"/>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275</w:t>
            </w:r>
          </w:p>
        </w:tc>
        <w:tc>
          <w:tcPr>
            <w:tcW w:w="100" w:type="dxa"/>
            <w:vAlign w:val="bottom"/>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Company did not have any unrecognized tax benefits as a result of the adoption of ASC No. 740. Moreover, during the period, the Company neither had any unrecognized tax benefits nor recognized any uncertain tax benefits. The Company did not recognize any interest or penalties in the Company’s Consolidated Statement of Operations nor did it have any such amounts recognized on the Company’s Consolidated Balance Sheets. In addition, the Company did not have any uncertain tax positions that were expected to significantly change within 12 months of the reporting date.</w:t>
      </w:r>
    </w:p>
    <w:p>
      <w:pPr>
        <w:spacing w:after="0" w:line="188" w:lineRule="exact"/>
        <w:rPr>
          <w:sz w:val="20"/>
          <w:szCs w:val="20"/>
          <w:color w:val="auto"/>
        </w:rPr>
      </w:pPr>
    </w:p>
    <w:p>
      <w:pPr>
        <w:ind w:right="7720" w:firstLine="8"/>
        <w:spacing w:after="0" w:line="347" w:lineRule="auto"/>
        <w:tabs>
          <w:tab w:leader="none" w:pos="176"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and Other Employee Benefit Plans Defined Benefit Plan</w:t>
      </w:r>
    </w:p>
    <w:p>
      <w:pPr>
        <w:spacing w:after="0" w:line="2"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In India, the Company maintains and administers a non-contributory defined benefit retirement and termination of employment plan (Gratuity Plan) as required by local regulations. The plan provides for a lump sum payment to vested employees at the time of retirement or termination. Benefits under this plan are based on years of service and compensation of the employee.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a December 31 measurement date for the Gratuity Plan. The components of the Gratuity Plan cost were as follows: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160" w:type="dxa"/>
            <w:vAlign w:val="bottom"/>
            <w:gridSpan w:val="8"/>
          </w:tcPr>
          <w:p>
            <w:pPr>
              <w:jc w:val="right"/>
              <w:ind w:right="4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61"/>
        </w:trPr>
        <w:tc>
          <w:tcPr>
            <w:tcW w:w="3200" w:type="dxa"/>
            <w:vAlign w:val="bottom"/>
          </w:tcPr>
          <w:p>
            <w:pPr>
              <w:spacing w:after="0"/>
              <w:rPr>
                <w:sz w:val="14"/>
                <w:szCs w:val="14"/>
                <w:color w:val="auto"/>
              </w:rPr>
            </w:pPr>
          </w:p>
        </w:tc>
        <w:tc>
          <w:tcPr>
            <w:tcW w:w="45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2010</w:t>
            </w: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4"/>
                <w:szCs w:val="14"/>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Service cost</w:t>
            </w:r>
          </w:p>
        </w:tc>
        <w:tc>
          <w:tcPr>
            <w:tcW w:w="4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$134</w:t>
            </w:r>
          </w:p>
        </w:tc>
        <w:tc>
          <w:tcPr>
            <w:tcW w:w="4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$141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Interest cost</w:t>
            </w:r>
          </w:p>
        </w:tc>
        <w:tc>
          <w:tcPr>
            <w:tcW w:w="458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Actuarial (gain) loss</w:t>
            </w:r>
          </w:p>
        </w:tc>
        <w:tc>
          <w:tcPr>
            <w:tcW w:w="42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(185)</w:t>
            </w: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Arial" w:cs="Arial" w:eastAsia="Arial" w:hAnsi="Arial"/>
                <w:sz w:val="18"/>
                <w:szCs w:val="18"/>
                <w:color w:val="auto"/>
              </w:rPr>
              <w:t>Total Gratuity Plan cost</w:t>
            </w:r>
          </w:p>
        </w:tc>
        <w:tc>
          <w:tcPr>
            <w:tcW w:w="4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200" w:type="dxa"/>
            <w:vAlign w:val="bottom"/>
            <w:vMerge w:val="continue"/>
          </w:tcPr>
          <w:p>
            <w:pPr>
              <w:spacing w:after="0"/>
              <w:rPr>
                <w:sz w:val="19"/>
                <w:szCs w:val="19"/>
                <w:color w:val="auto"/>
              </w:rPr>
            </w:pPr>
          </w:p>
        </w:tc>
        <w:tc>
          <w:tcPr>
            <w:tcW w:w="42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374</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4220" w:type="dxa"/>
            <w:vAlign w:val="bottom"/>
            <w:vMerge w:val="restart"/>
          </w:tcPr>
          <w:p>
            <w:pPr>
              <w:jc w:val="right"/>
              <w:ind w:right="2459"/>
              <w:spacing w:after="0"/>
              <w:rPr>
                <w:sz w:val="20"/>
                <w:szCs w:val="20"/>
                <w:color w:val="auto"/>
              </w:rPr>
            </w:pPr>
            <w:r>
              <w:rPr>
                <w:rFonts w:ascii="Arial" w:cs="Arial" w:eastAsia="Arial" w:hAnsi="Arial"/>
                <w:sz w:val="18"/>
                <w:szCs w:val="18"/>
                <w:color w:val="auto"/>
              </w:rPr>
              <w:t>21</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200" w:type="dxa"/>
            <w:vAlign w:val="bottom"/>
          </w:tcPr>
          <w:p>
            <w:pPr>
              <w:spacing w:after="0"/>
              <w:rPr>
                <w:sz w:val="24"/>
                <w:szCs w:val="24"/>
                <w:color w:val="auto"/>
              </w:rPr>
            </w:pPr>
          </w:p>
        </w:tc>
        <w:tc>
          <w:tcPr>
            <w:tcW w:w="42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280" w:right="279" w:bottom="1440" w:gutter="0" w:footer="0" w:header="0"/>
        </w:sectPr>
      </w:pPr>
    </w:p>
    <w:bookmarkStart w:id="27" w:name="page28"/>
    <w:bookmarkEnd w:id="27"/>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Business Process Outsourcing, Inc.</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December 31, 2010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(Dollars in thousands, except per share amounts)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assumptions used to determine the Gratuity Plan cost and obligations are as follows:</w:t>
      </w:r>
    </w:p>
    <w:p>
      <w:pPr>
        <w:spacing w:after="0" w:line="207" w:lineRule="exact"/>
        <w:rPr>
          <w:sz w:val="20"/>
          <w:szCs w:val="20"/>
          <w:color w:val="auto"/>
        </w:rPr>
      </w:pPr>
    </w:p>
    <w:p>
      <w:pPr>
        <w:jc w:val="center"/>
        <w:ind w:left="6980"/>
        <w:spacing w:after="0"/>
        <w:rPr>
          <w:sz w:val="20"/>
          <w:szCs w:val="20"/>
          <w:color w:val="auto"/>
        </w:rPr>
      </w:pPr>
      <w:r>
        <w:rPr>
          <w:rFonts w:ascii="Arial" w:cs="Arial" w:eastAsia="Arial" w:hAnsi="Arial"/>
          <w:sz w:val="14"/>
          <w:szCs w:val="14"/>
          <w:b w:val="1"/>
          <w:bCs w:val="1"/>
          <w:color w:val="auto"/>
        </w:rPr>
        <w:t>Year ended December 31,</w:t>
      </w:r>
    </w:p>
    <w:p>
      <w:pPr>
        <w:ind w:left="8120"/>
        <w:spacing w:after="0"/>
        <w:tabs>
          <w:tab w:leader="none" w:pos="9020" w:val="left"/>
          <w:tab w:leader="none" w:pos="9980" w:val="left"/>
        </w:tabs>
        <w:rPr>
          <w:sz w:val="20"/>
          <w:szCs w:val="20"/>
          <w:color w:val="auto"/>
        </w:rPr>
      </w:pPr>
      <w:r>
        <w:rPr>
          <w:rFonts w:ascii="Arial" w:cs="Arial" w:eastAsia="Arial" w:hAnsi="Arial"/>
          <w:sz w:val="14"/>
          <w:szCs w:val="14"/>
          <w:b w:val="1"/>
          <w:bCs w:val="1"/>
          <w:color w:val="auto"/>
        </w:rPr>
        <w:t>2010</w:t>
      </w:r>
      <w:r>
        <w:rPr>
          <w:sz w:val="20"/>
          <w:szCs w:val="20"/>
          <w:color w:val="auto"/>
        </w:rPr>
        <w:tab/>
      </w:r>
      <w:r>
        <w:rPr>
          <w:rFonts w:ascii="Arial" w:cs="Arial" w:eastAsia="Arial" w:hAnsi="Arial"/>
          <w:sz w:val="14"/>
          <w:szCs w:val="14"/>
          <w:b w:val="1"/>
          <w:bCs w:val="1"/>
          <w:color w:val="auto"/>
        </w:rPr>
        <w:t>2009</w:t>
      </w:r>
      <w:r>
        <w:rPr>
          <w:sz w:val="20"/>
          <w:szCs w:val="20"/>
          <w:color w:val="auto"/>
        </w:rPr>
        <w:tab/>
      </w:r>
      <w:r>
        <w:rPr>
          <w:rFonts w:ascii="Arial" w:cs="Arial" w:eastAsia="Arial" w:hAnsi="Arial"/>
          <w:sz w:val="11"/>
          <w:szCs w:val="11"/>
          <w:b w:val="1"/>
          <w:bCs w:val="1"/>
          <w:color w:val="auto"/>
        </w:rPr>
        <w:t>2008</w:t>
      </w:r>
    </w:p>
    <w:p>
      <w:pPr>
        <w:spacing w:after="0" w:line="21" w:lineRule="exact"/>
        <w:rPr>
          <w:sz w:val="20"/>
          <w:szCs w:val="20"/>
          <w:color w:val="auto"/>
        </w:rPr>
      </w:pPr>
    </w:p>
    <w:tbl>
      <w:tblPr>
        <w:tblLayout w:type="fixed"/>
        <w:tblInd w:w="920" w:type="dxa"/>
        <w:tblCellMar>
          <w:top w:w="0" w:type="dxa"/>
          <w:left w:w="0" w:type="dxa"/>
          <w:bottom w:w="0" w:type="dxa"/>
          <w:right w:w="0" w:type="dxa"/>
        </w:tblCellMar>
      </w:tblPr>
      <w:tr>
        <w:trPr>
          <w:trHeight w:val="20"/>
        </w:trPr>
        <w:tc>
          <w:tcPr>
            <w:tcW w:w="71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Discount rate</w:t>
            </w: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180" w:type="dxa"/>
            <w:vAlign w:val="bottom"/>
            <w:vMerge w:val="continue"/>
            <w:shd w:val="clear" w:color="auto" w:fill="CCEEFF"/>
          </w:tcPr>
          <w:p>
            <w:pPr>
              <w:spacing w:after="0"/>
              <w:rPr>
                <w:sz w:val="16"/>
                <w:szCs w:val="16"/>
                <w:color w:val="auto"/>
              </w:rPr>
            </w:pPr>
          </w:p>
        </w:tc>
        <w:tc>
          <w:tcPr>
            <w:tcW w:w="920" w:type="dxa"/>
            <w:vAlign w:val="bottom"/>
            <w:gridSpan w:val="2"/>
            <w:shd w:val="clear" w:color="auto" w:fill="CCEEFF"/>
          </w:tcPr>
          <w:p>
            <w:pPr>
              <w:jc w:val="right"/>
              <w:ind w:right="480"/>
              <w:spacing w:after="0" w:line="189" w:lineRule="exact"/>
              <w:rPr>
                <w:sz w:val="20"/>
                <w:szCs w:val="20"/>
                <w:color w:val="auto"/>
              </w:rPr>
            </w:pPr>
            <w:r>
              <w:rPr>
                <w:rFonts w:ascii="Arial" w:cs="Arial" w:eastAsia="Arial" w:hAnsi="Arial"/>
                <w:sz w:val="18"/>
                <w:szCs w:val="18"/>
                <w:color w:val="auto"/>
              </w:rPr>
              <w:t>8.0%</w:t>
            </w:r>
          </w:p>
        </w:tc>
        <w:tc>
          <w:tcPr>
            <w:tcW w:w="940" w:type="dxa"/>
            <w:vAlign w:val="bottom"/>
            <w:gridSpan w:val="2"/>
            <w:shd w:val="clear" w:color="auto" w:fill="CCEEFF"/>
          </w:tcPr>
          <w:p>
            <w:pPr>
              <w:jc w:val="right"/>
              <w:ind w:right="480"/>
              <w:spacing w:after="0" w:line="189" w:lineRule="exact"/>
              <w:rPr>
                <w:sz w:val="20"/>
                <w:szCs w:val="20"/>
                <w:color w:val="auto"/>
              </w:rPr>
            </w:pPr>
            <w:r>
              <w:rPr>
                <w:rFonts w:ascii="Arial" w:cs="Arial" w:eastAsia="Arial" w:hAnsi="Arial"/>
                <w:sz w:val="18"/>
                <w:szCs w:val="18"/>
                <w:color w:val="auto"/>
              </w:rPr>
              <w:t>8.0%</w:t>
            </w:r>
          </w:p>
        </w:tc>
        <w:tc>
          <w:tcPr>
            <w:tcW w:w="5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2"/>
        </w:trPr>
        <w:tc>
          <w:tcPr>
            <w:tcW w:w="7180" w:type="dxa"/>
            <w:vAlign w:val="bottom"/>
          </w:tcPr>
          <w:p>
            <w:pPr>
              <w:spacing w:after="0"/>
              <w:rPr>
                <w:sz w:val="20"/>
                <w:szCs w:val="20"/>
                <w:color w:val="auto"/>
              </w:rPr>
            </w:pPr>
            <w:r>
              <w:rPr>
                <w:rFonts w:ascii="Arial" w:cs="Arial" w:eastAsia="Arial" w:hAnsi="Arial"/>
                <w:sz w:val="18"/>
                <w:szCs w:val="18"/>
                <w:color w:val="auto"/>
              </w:rPr>
              <w:t>Rate of increase in future compensation</w:t>
            </w: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rPr>
              <w:t>7.5%</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7.5%</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uses the discount rate to compute future benefit obligations from an analysis of expected future benefit payments. The reasonableness of its discount rate is determined by comparing its rate to the rate derived from mortality information provided by the Life Insurance Corporation of India. The increase in future compensation is based on historical information and management’s future expectation.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benefit obligation, plan assets and the funded status of the Gratuity Plan are as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7"/>
          </w:tcPr>
          <w:p>
            <w:pPr>
              <w:jc w:val="right"/>
              <w:ind w:right="320"/>
              <w:spacing w:after="0"/>
              <w:rPr>
                <w:sz w:val="20"/>
                <w:szCs w:val="20"/>
                <w:color w:val="auto"/>
              </w:rPr>
            </w:pPr>
            <w:r>
              <w:rPr>
                <w:rFonts w:ascii="Arial" w:cs="Arial" w:eastAsia="Arial" w:hAnsi="Arial"/>
                <w:sz w:val="14"/>
                <w:szCs w:val="14"/>
                <w:b w:val="1"/>
                <w:bCs w:val="1"/>
                <w:color w:val="auto"/>
                <w:w w:val="87"/>
              </w:rPr>
              <w:t>Year ended 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3300" w:type="dxa"/>
            <w:vAlign w:val="bottom"/>
            <w:tcBorders>
              <w:bottom w:val="single" w:sz="8" w:color="CCEEFF"/>
            </w:tcBorders>
          </w:tcPr>
          <w:p>
            <w:pPr>
              <w:spacing w:after="0"/>
              <w:rPr>
                <w:sz w:val="14"/>
                <w:szCs w:val="14"/>
                <w:color w:val="auto"/>
              </w:rPr>
            </w:pPr>
          </w:p>
        </w:tc>
        <w:tc>
          <w:tcPr>
            <w:tcW w:w="29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83"/>
              </w:rPr>
              <w:t>2009</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Change in projected benefit obligation:</w:t>
            </w:r>
          </w:p>
        </w:tc>
        <w:tc>
          <w:tcPr>
            <w:tcW w:w="2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Projected benefit obligation, beginning of year</w:t>
            </w:r>
          </w:p>
        </w:tc>
        <w:tc>
          <w:tcPr>
            <w:tcW w:w="30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683</w:t>
            </w:r>
          </w:p>
        </w:tc>
        <w:tc>
          <w:tcPr>
            <w:tcW w:w="2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cost</w:t>
            </w:r>
          </w:p>
        </w:tc>
        <w:tc>
          <w:tcPr>
            <w:tcW w:w="2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134</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57</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Actuarial (gain) loss</w:t>
            </w:r>
          </w:p>
        </w:tc>
        <w:tc>
          <w:tcPr>
            <w:tcW w:w="2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183</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Benefits paid</w:t>
            </w:r>
          </w:p>
        </w:tc>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(59)</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rate (gain) loss</w:t>
            </w:r>
          </w:p>
        </w:tc>
        <w:tc>
          <w:tcPr>
            <w:tcW w:w="29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60" w:type="dxa"/>
            <w:vAlign w:val="bottom"/>
            <w:gridSpan w:val="3"/>
          </w:tcPr>
          <w:p>
            <w:pPr>
              <w:spacing w:after="0"/>
              <w:rPr>
                <w:sz w:val="20"/>
                <w:szCs w:val="20"/>
                <w:color w:val="auto"/>
              </w:rPr>
            </w:pPr>
            <w:r>
              <w:rPr>
                <w:rFonts w:ascii="Arial" w:cs="Arial" w:eastAsia="Arial" w:hAnsi="Arial"/>
                <w:sz w:val="18"/>
                <w:szCs w:val="18"/>
                <w:color w:val="auto"/>
              </w:rPr>
              <w:t>Projected benefit obligation, end of year</w:t>
            </w:r>
          </w:p>
        </w:tc>
        <w:tc>
          <w:tcPr>
            <w:tcW w:w="29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1,030</w:t>
            </w:r>
          </w:p>
        </w:tc>
        <w:tc>
          <w:tcPr>
            <w:tcW w:w="20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683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440" w:type="dxa"/>
            <w:vAlign w:val="bottom"/>
          </w:tcPr>
          <w:p>
            <w:pPr>
              <w:spacing w:after="0"/>
              <w:rPr>
                <w:sz w:val="8"/>
                <w:szCs w:val="8"/>
                <w:color w:val="auto"/>
              </w:rPr>
            </w:pPr>
          </w:p>
        </w:tc>
        <w:tc>
          <w:tcPr>
            <w:tcW w:w="3300" w:type="dxa"/>
            <w:vAlign w:val="bottom"/>
          </w:tcPr>
          <w:p>
            <w:pPr>
              <w:spacing w:after="0"/>
              <w:rPr>
                <w:sz w:val="8"/>
                <w:szCs w:val="8"/>
                <w:color w:val="auto"/>
              </w:rPr>
            </w:pPr>
          </w:p>
        </w:tc>
        <w:tc>
          <w:tcPr>
            <w:tcW w:w="2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Unfunded status:</w:t>
            </w:r>
          </w:p>
        </w:tc>
        <w:tc>
          <w:tcPr>
            <w:tcW w:w="2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Unfunded amount – non-current</w:t>
            </w:r>
          </w:p>
        </w:tc>
        <w:tc>
          <w:tcPr>
            <w:tcW w:w="30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812</w:t>
            </w:r>
          </w:p>
        </w:tc>
        <w:tc>
          <w:tcPr>
            <w:tcW w:w="2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569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Unfunded amount – current</w:t>
            </w:r>
          </w:p>
        </w:tc>
        <w:tc>
          <w:tcPr>
            <w:tcW w:w="29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218</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60" w:type="dxa"/>
            <w:vAlign w:val="bottom"/>
            <w:gridSpan w:val="3"/>
          </w:tcPr>
          <w:p>
            <w:pPr>
              <w:spacing w:after="0"/>
              <w:rPr>
                <w:sz w:val="20"/>
                <w:szCs w:val="20"/>
                <w:color w:val="auto"/>
              </w:rPr>
            </w:pPr>
            <w:r>
              <w:rPr>
                <w:rFonts w:ascii="Arial" w:cs="Arial" w:eastAsia="Arial" w:hAnsi="Arial"/>
                <w:sz w:val="18"/>
                <w:szCs w:val="18"/>
                <w:color w:val="auto"/>
              </w:rPr>
              <w:t>Total accrued liability</w:t>
            </w:r>
          </w:p>
        </w:tc>
        <w:tc>
          <w:tcPr>
            <w:tcW w:w="29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1,030</w:t>
            </w:r>
          </w:p>
        </w:tc>
        <w:tc>
          <w:tcPr>
            <w:tcW w:w="20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683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Accumulated benefit obligation</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823</w:t>
            </w: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40" w:type="dxa"/>
            <w:vAlign w:val="bottom"/>
            <w:vMerge w:val="restart"/>
          </w:tcPr>
          <w:p>
            <w:pPr>
              <w:spacing w:after="0"/>
              <w:rPr>
                <w:sz w:val="17"/>
                <w:szCs w:val="17"/>
                <w:color w:val="auto"/>
              </w:rPr>
            </w:pPr>
          </w:p>
        </w:tc>
        <w:tc>
          <w:tcPr>
            <w:tcW w:w="33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Expected benefit payments:</w:t>
            </w:r>
          </w:p>
        </w:tc>
        <w:tc>
          <w:tcPr>
            <w:tcW w:w="2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During the year ending December 31,</w:t>
            </w:r>
          </w:p>
        </w:tc>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gridSpan w:val="2"/>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w:t>
            </w:r>
          </w:p>
        </w:tc>
        <w:tc>
          <w:tcPr>
            <w:tcW w:w="8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gridSpan w:val="2"/>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2012</w:t>
            </w:r>
          </w:p>
        </w:tc>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169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gridSpan w:val="2"/>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2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w:t>
            </w:r>
          </w:p>
        </w:tc>
        <w:tc>
          <w:tcPr>
            <w:tcW w:w="8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gridSpan w:val="2"/>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2014</w:t>
            </w:r>
          </w:p>
        </w:tc>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2015 to 2019</w:t>
            </w:r>
          </w:p>
        </w:tc>
        <w:tc>
          <w:tcPr>
            <w:tcW w:w="2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260</w:t>
            </w:r>
          </w:p>
        </w:tc>
        <w:tc>
          <w:tcPr>
            <w:tcW w:w="8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940" w:type="dxa"/>
            <w:vAlign w:val="bottom"/>
          </w:tcPr>
          <w:p>
            <w:pPr>
              <w:jc w:val="right"/>
              <w:ind w:right="2192"/>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280" w:right="27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Business Process Outsourcing, Inc.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December 31, 2010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(Dollars in thousands, except per share amounts)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Plan</w:t>
      </w:r>
    </w:p>
    <w:p>
      <w:pPr>
        <w:spacing w:after="0" w:line="96"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The Company has established the OPI 401(k) Retirement Plan, a qualified defined contribution retirement plan. In 2010, the plan allowed eligible employees to contribute between 1% and the maximum tax deductible limit of their eligible compensation. The Company provides matching contributions up to a certain percentage of the employee’s eligible compensation. Contribution to the plan was $246, $254 and $319 for 2010, 2009 and 2008, respectively.</w:t>
      </w:r>
    </w:p>
    <w:p>
      <w:pPr>
        <w:spacing w:after="0" w:line="10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contributes to the Government Provident Fund (a defined contribution plan) on behalf of its employees in India, in accordance with Indian law. The assets held by the Government Provident Fund are not reported on the Company’s balance sheet. The contributions made to the fund were $844, $630 and $561 during 2010, 2009 and 2008,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9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On November 12, 2003, the Company instituted the 2003 Equity Incentive Plan (the “Plan”). Eligible persons include employees of the Company and certain other persons. The Company reserved 2,000,000 shares of common stock for the granting of options. Under the Plan, the Board may grant awards of nonqualified stock options (“NSOs”), incentive stock options (“ISOs”) and stock appreciation rights (“SARs”), or any combination of the foregoing. The Board determines which employees are eligible to receive options, the number of options to be granted, the exercise price, the vesting period and the contractual period. Options are non-transferable during their life and the vesting period is determined on the date of the grant. Options generally vest ratably over a period of four years from the date of grant, with 25% vesting each year, and the contractual term is five years. If an employee terminates they must exercise any vested options within 90 days after termination or the vested options are forfeited.</w:t>
      </w:r>
    </w:p>
    <w:p>
      <w:pPr>
        <w:spacing w:after="0" w:line="11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Compensation expense during the years ended December 31, 2010, 2009 and 2008, amounting to $292, $381 and $341, respectively, was included in general and administrative expenses.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29" w:name="page30"/>
    <w:bookmarkEnd w:id="29"/>
    <w:p>
      <w:pPr>
        <w:jc w:val="center"/>
        <w:ind w:right="-1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Business Process Outsourcing, Inc.</w:t>
      </w:r>
    </w:p>
    <w:p>
      <w:pPr>
        <w:spacing w:after="0" w:line="1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December 31, 2010</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(Dollars in thousands, except per share amounts)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under the Plan is shown below:</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4"/>
              </w:rPr>
              <w:t>Number of</w:t>
            </w:r>
          </w:p>
        </w:tc>
        <w:tc>
          <w:tcPr>
            <w:tcW w:w="1520" w:type="dxa"/>
            <w:vAlign w:val="bottom"/>
            <w:gridSpan w:val="4"/>
          </w:tcPr>
          <w:p>
            <w:pPr>
              <w:ind w:left="360"/>
              <w:spacing w:after="0"/>
              <w:rPr>
                <w:sz w:val="20"/>
                <w:szCs w:val="20"/>
                <w:color w:val="auto"/>
              </w:rPr>
            </w:pPr>
            <w:r>
              <w:rPr>
                <w:rFonts w:ascii="Arial" w:cs="Arial" w:eastAsia="Arial" w:hAnsi="Arial"/>
                <w:sz w:val="14"/>
                <w:szCs w:val="14"/>
                <w:b w:val="1"/>
                <w:bCs w:val="1"/>
                <w:color w:val="auto"/>
                <w:w w:val="94"/>
              </w:rPr>
              <w:t>Weighted-average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Shares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December 31, 2007</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1,522,250</w:t>
            </w: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420"/>
              <w:spacing w:after="0"/>
              <w:rPr>
                <w:sz w:val="20"/>
                <w:szCs w:val="20"/>
                <w:color w:val="auto"/>
              </w:rPr>
            </w:pPr>
            <w:r>
              <w:rPr>
                <w:rFonts w:ascii="Arial" w:cs="Arial" w:eastAsia="Arial" w:hAnsi="Arial"/>
                <w:sz w:val="18"/>
                <w:szCs w:val="18"/>
                <w:color w:val="auto"/>
              </w:rPr>
              <w:t>Granted</w:t>
            </w:r>
          </w:p>
        </w:tc>
        <w:tc>
          <w:tcPr>
            <w:tcW w:w="760" w:type="dxa"/>
            <w:vAlign w:val="bottom"/>
          </w:tcPr>
          <w:p>
            <w:pPr>
              <w:jc w:val="right"/>
              <w:spacing w:after="0"/>
              <w:rPr>
                <w:sz w:val="20"/>
                <w:szCs w:val="20"/>
                <w:color w:val="auto"/>
              </w:rPr>
            </w:pPr>
            <w:r>
              <w:rPr>
                <w:rFonts w:ascii="Arial" w:cs="Arial" w:eastAsia="Arial" w:hAnsi="Arial"/>
                <w:sz w:val="18"/>
                <w:szCs w:val="18"/>
                <w:color w:val="auto"/>
              </w:rPr>
              <w:t>227,000</w:t>
            </w:r>
          </w:p>
        </w:tc>
        <w:tc>
          <w:tcPr>
            <w:tcW w:w="400" w:type="dxa"/>
            <w:vAlign w:val="bottom"/>
          </w:tcPr>
          <w:p>
            <w:pPr>
              <w:spacing w:after="0"/>
              <w:rPr>
                <w:sz w:val="18"/>
                <w:szCs w:val="18"/>
                <w:color w:val="auto"/>
              </w:rPr>
            </w:pP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(84,000)</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(81,750)</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Expired</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(28,000)</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00" w:type="dxa"/>
            <w:vAlign w:val="bottom"/>
            <w:gridSpan w:val="2"/>
          </w:tcPr>
          <w:p>
            <w:pPr>
              <w:spacing w:after="0"/>
              <w:rPr>
                <w:sz w:val="20"/>
                <w:szCs w:val="20"/>
                <w:color w:val="auto"/>
              </w:rPr>
            </w:pPr>
            <w:r>
              <w:rPr>
                <w:rFonts w:ascii="Arial" w:cs="Arial" w:eastAsia="Arial" w:hAnsi="Arial"/>
                <w:sz w:val="18"/>
                <w:szCs w:val="18"/>
                <w:color w:val="auto"/>
              </w:rPr>
              <w:t>Outstanding at December 31, 2008</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1,555,500</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Granted</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81,000</w:t>
            </w:r>
          </w:p>
        </w:tc>
        <w:tc>
          <w:tcPr>
            <w:tcW w:w="4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420"/>
              <w:spacing w:after="0"/>
              <w:rPr>
                <w:sz w:val="20"/>
                <w:szCs w:val="20"/>
                <w:color w:val="auto"/>
              </w:rPr>
            </w:pPr>
            <w:r>
              <w:rPr>
                <w:rFonts w:ascii="Arial" w:cs="Arial" w:eastAsia="Arial" w:hAnsi="Arial"/>
                <w:sz w:val="18"/>
                <w:szCs w:val="18"/>
                <w:color w:val="auto"/>
              </w:rPr>
              <w:t>Exercised</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(175,000)</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Forfeited</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(106,000)</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Pr>
          <w:p>
            <w:pPr>
              <w:ind w:left="420"/>
              <w:spacing w:after="0"/>
              <w:rPr>
                <w:sz w:val="20"/>
                <w:szCs w:val="20"/>
                <w:color w:val="auto"/>
              </w:rPr>
            </w:pPr>
            <w:r>
              <w:rPr>
                <w:rFonts w:ascii="Arial" w:cs="Arial" w:eastAsia="Arial" w:hAnsi="Arial"/>
                <w:sz w:val="18"/>
                <w:szCs w:val="18"/>
                <w:color w:val="auto"/>
              </w:rPr>
              <w:t>Expired</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(13,500)</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2009</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1,342,000</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420"/>
              <w:spacing w:after="0"/>
              <w:rPr>
                <w:sz w:val="20"/>
                <w:szCs w:val="20"/>
                <w:color w:val="auto"/>
              </w:rPr>
            </w:pPr>
            <w:r>
              <w:rPr>
                <w:rFonts w:ascii="Arial" w:cs="Arial" w:eastAsia="Arial" w:hAnsi="Arial"/>
                <w:sz w:val="18"/>
                <w:szCs w:val="18"/>
                <w:color w:val="auto"/>
              </w:rPr>
              <w:t>Granted</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w:t>
            </w:r>
          </w:p>
        </w:tc>
        <w:tc>
          <w:tcPr>
            <w:tcW w:w="460" w:type="dxa"/>
            <w:vAlign w:val="bottom"/>
            <w:gridSpan w:val="2"/>
          </w:tcPr>
          <w:p>
            <w:pPr>
              <w:ind w:left="36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ind w:left="7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(136,100)</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(201,150)</w:t>
            </w:r>
          </w:p>
        </w:tc>
        <w:tc>
          <w:tcPr>
            <w:tcW w:w="460" w:type="dxa"/>
            <w:vAlign w:val="bottom"/>
            <w:gridSpan w:val="2"/>
          </w:tcPr>
          <w:p>
            <w:pPr>
              <w:ind w:left="36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Expired</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(93,750)</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00" w:type="dxa"/>
            <w:vAlign w:val="bottom"/>
            <w:gridSpan w:val="2"/>
          </w:tcPr>
          <w:p>
            <w:pPr>
              <w:spacing w:after="0"/>
              <w:rPr>
                <w:sz w:val="20"/>
                <w:szCs w:val="20"/>
                <w:color w:val="auto"/>
              </w:rPr>
            </w:pPr>
            <w:r>
              <w:rPr>
                <w:rFonts w:ascii="Arial" w:cs="Arial" w:eastAsia="Arial" w:hAnsi="Arial"/>
                <w:sz w:val="18"/>
                <w:szCs w:val="18"/>
                <w:color w:val="auto"/>
              </w:rPr>
              <w:t>Outstanding at December 31, 2010</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911,000</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9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Exercisable at December 31, 2010</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568,475</w:t>
            </w:r>
          </w:p>
        </w:tc>
        <w:tc>
          <w:tcPr>
            <w:tcW w:w="4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Arial" w:cs="Arial" w:eastAsia="Arial" w:hAnsi="Arial"/>
                <w:sz w:val="18"/>
                <w:szCs w:val="18"/>
                <w:color w:val="auto"/>
              </w:rPr>
              <w:t>Available for grant at December 31, 2010</w:t>
            </w: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0" w:type="dxa"/>
            <w:vAlign w:val="bottom"/>
            <w:gridSpan w:val="2"/>
            <w:vMerge w:val="continue"/>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281,428</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weighted-average fair value of options granted during the years ended December 31, 2010 and 2009 was $0 and $1.57, respectively. The weighted-average remaining contractual life of options outstanding and exercisable at December 31, 2010 was 1.64 years and 1.40 years, respectively. The weighted-average fair value of vested and exercisable options was $1.39. The aggregate intrinsic value of the options outstanding and exercisable at December 31, 2010 was $503 and $387, respectively.</w:t>
      </w:r>
    </w:p>
    <w:p>
      <w:pPr>
        <w:spacing w:after="0" w:line="14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total remaining unrecognized stock-based compensation costs amounted to $194 at December 31, 2010, which will be amortized over the weighted-average remaining vesting period of 1.95 years.</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80"/>
          </w:cols>
          <w:pgMar w:left="240" w:top="280" w:right="37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Business Process Outsourcing,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 except per share amounts)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status of the Company stock options outstanding and stock options vested and exercisable at December 31, 2010: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Options Outstanding</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4"/>
                <w:szCs w:val="14"/>
                <w:b w:val="1"/>
                <w:bCs w:val="1"/>
                <w:color w:val="auto"/>
                <w:w w:val="95"/>
              </w:rPr>
              <w:t>Options Exercisable</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100" w:type="dxa"/>
            <w:vAlign w:val="bottom"/>
            <w:gridSpan w:val="2"/>
          </w:tcPr>
          <w:p>
            <w:pPr>
              <w:jc w:val="center"/>
              <w:ind w:right="1500"/>
              <w:spacing w:after="0" w:line="129" w:lineRule="exact"/>
              <w:rPr>
                <w:sz w:val="20"/>
                <w:szCs w:val="20"/>
                <w:color w:val="auto"/>
              </w:rPr>
            </w:pPr>
            <w:r>
              <w:rPr>
                <w:rFonts w:ascii="Arial" w:cs="Arial" w:eastAsia="Arial" w:hAnsi="Arial"/>
                <w:sz w:val="14"/>
                <w:szCs w:val="14"/>
                <w:b w:val="1"/>
                <w:bCs w:val="1"/>
                <w:color w:val="auto"/>
                <w:w w:val="88"/>
              </w:rPr>
              <w:t>Weighted-</w:t>
            </w:r>
          </w:p>
        </w:tc>
        <w:tc>
          <w:tcPr>
            <w:tcW w:w="6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Weighted-</w:t>
            </w:r>
          </w:p>
        </w:tc>
        <w:tc>
          <w:tcPr>
            <w:tcW w:w="1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5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2"/>
              </w:rPr>
              <w:t>Weighted-</w:t>
            </w:r>
          </w:p>
        </w:tc>
        <w:tc>
          <w:tcPr>
            <w:tcW w:w="100" w:type="dxa"/>
            <w:vAlign w:val="bottom"/>
          </w:tcPr>
          <w:p>
            <w:pPr>
              <w:spacing w:after="0"/>
              <w:rPr>
                <w:sz w:val="11"/>
                <w:szCs w:val="11"/>
                <w:color w:val="auto"/>
              </w:rPr>
            </w:pPr>
          </w:p>
        </w:tc>
      </w:tr>
      <w:tr>
        <w:trPr>
          <w:trHeight w:val="149"/>
        </w:trPr>
        <w:tc>
          <w:tcPr>
            <w:tcW w:w="2240" w:type="dxa"/>
            <w:vAlign w:val="bottom"/>
          </w:tcPr>
          <w:p>
            <w:pPr>
              <w:jc w:val="center"/>
              <w:ind w:right="1284"/>
              <w:spacing w:after="0" w:line="149" w:lineRule="exact"/>
              <w:rPr>
                <w:sz w:val="20"/>
                <w:szCs w:val="20"/>
                <w:color w:val="auto"/>
              </w:rPr>
            </w:pPr>
            <w:r>
              <w:rPr>
                <w:rFonts w:ascii="Arial" w:cs="Arial" w:eastAsia="Arial" w:hAnsi="Arial"/>
                <w:sz w:val="14"/>
                <w:szCs w:val="14"/>
                <w:b w:val="1"/>
                <w:bCs w:val="1"/>
                <w:color w:val="auto"/>
                <w:w w:val="86"/>
              </w:rPr>
              <w:t>Range of</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100" w:type="dxa"/>
            <w:vAlign w:val="bottom"/>
            <w:gridSpan w:val="2"/>
          </w:tcPr>
          <w:p>
            <w:pPr>
              <w:jc w:val="center"/>
              <w:ind w:right="1500"/>
              <w:spacing w:after="0" w:line="149" w:lineRule="exact"/>
              <w:rPr>
                <w:sz w:val="20"/>
                <w:szCs w:val="20"/>
                <w:color w:val="auto"/>
              </w:rPr>
            </w:pPr>
            <w:r>
              <w:rPr>
                <w:rFonts w:ascii="Arial" w:cs="Arial" w:eastAsia="Arial" w:hAnsi="Arial"/>
                <w:sz w:val="14"/>
                <w:szCs w:val="14"/>
                <w:b w:val="1"/>
                <w:bCs w:val="1"/>
                <w:color w:val="auto"/>
                <w:w w:val="83"/>
              </w:rPr>
              <w:t>average</w:t>
            </w:r>
          </w:p>
        </w:tc>
        <w:tc>
          <w:tcPr>
            <w:tcW w:w="2080" w:type="dxa"/>
            <w:vAlign w:val="bottom"/>
            <w:gridSpan w:val="3"/>
          </w:tcPr>
          <w:p>
            <w:pPr>
              <w:jc w:val="center"/>
              <w:ind w:right="1500"/>
              <w:spacing w:after="0" w:line="149" w:lineRule="exact"/>
              <w:rPr>
                <w:sz w:val="20"/>
                <w:szCs w:val="20"/>
                <w:color w:val="auto"/>
              </w:rPr>
            </w:pPr>
            <w:r>
              <w:rPr>
                <w:rFonts w:ascii="Arial" w:cs="Arial" w:eastAsia="Arial" w:hAnsi="Arial"/>
                <w:sz w:val="14"/>
                <w:szCs w:val="14"/>
                <w:b w:val="1"/>
                <w:bCs w:val="1"/>
                <w:color w:val="auto"/>
                <w:w w:val="86"/>
              </w:rPr>
              <w:t>average</w:t>
            </w:r>
          </w:p>
        </w:tc>
        <w:tc>
          <w:tcPr>
            <w:tcW w:w="6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2240" w:type="dxa"/>
            <w:vAlign w:val="bottom"/>
          </w:tcPr>
          <w:p>
            <w:pPr>
              <w:jc w:val="center"/>
              <w:ind w:right="1284"/>
              <w:spacing w:after="0" w:line="149" w:lineRule="exact"/>
              <w:rPr>
                <w:sz w:val="20"/>
                <w:szCs w:val="20"/>
                <w:color w:val="auto"/>
              </w:rPr>
            </w:pPr>
            <w:r>
              <w:rPr>
                <w:rFonts w:ascii="Arial" w:cs="Arial" w:eastAsia="Arial" w:hAnsi="Arial"/>
                <w:sz w:val="14"/>
                <w:szCs w:val="14"/>
                <w:b w:val="1"/>
                <w:bCs w:val="1"/>
                <w:color w:val="auto"/>
                <w:w w:val="83"/>
              </w:rPr>
              <w:t>Exercise</w:t>
            </w:r>
          </w:p>
        </w:tc>
        <w:tc>
          <w:tcPr>
            <w:tcW w:w="126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rPr>
              <w:t>Number</w:t>
            </w:r>
          </w:p>
        </w:tc>
        <w:tc>
          <w:tcPr>
            <w:tcW w:w="920" w:type="dxa"/>
            <w:vAlign w:val="bottom"/>
          </w:tcPr>
          <w:p>
            <w:pPr>
              <w:spacing w:after="0"/>
              <w:rPr>
                <w:sz w:val="12"/>
                <w:szCs w:val="12"/>
                <w:color w:val="auto"/>
              </w:rPr>
            </w:pPr>
          </w:p>
        </w:tc>
        <w:tc>
          <w:tcPr>
            <w:tcW w:w="2100" w:type="dxa"/>
            <w:vAlign w:val="bottom"/>
            <w:gridSpan w:val="2"/>
          </w:tcPr>
          <w:p>
            <w:pPr>
              <w:jc w:val="center"/>
              <w:ind w:right="1500"/>
              <w:spacing w:after="0" w:line="149" w:lineRule="exact"/>
              <w:rPr>
                <w:sz w:val="20"/>
                <w:szCs w:val="20"/>
                <w:color w:val="auto"/>
              </w:rPr>
            </w:pPr>
            <w:r>
              <w:rPr>
                <w:rFonts w:ascii="Arial" w:cs="Arial" w:eastAsia="Arial" w:hAnsi="Arial"/>
                <w:sz w:val="14"/>
                <w:szCs w:val="14"/>
                <w:b w:val="1"/>
                <w:bCs w:val="1"/>
                <w:color w:val="auto"/>
                <w:w w:val="89"/>
              </w:rPr>
              <w:t>remaining</w:t>
            </w:r>
          </w:p>
        </w:tc>
        <w:tc>
          <w:tcPr>
            <w:tcW w:w="2080" w:type="dxa"/>
            <w:vAlign w:val="bottom"/>
            <w:gridSpan w:val="3"/>
          </w:tcPr>
          <w:p>
            <w:pPr>
              <w:jc w:val="center"/>
              <w:ind w:right="1500"/>
              <w:spacing w:after="0" w:line="149" w:lineRule="exact"/>
              <w:rPr>
                <w:sz w:val="20"/>
                <w:szCs w:val="20"/>
                <w:color w:val="auto"/>
              </w:rPr>
            </w:pPr>
            <w:r>
              <w:rPr>
                <w:rFonts w:ascii="Arial" w:cs="Arial" w:eastAsia="Arial" w:hAnsi="Arial"/>
                <w:sz w:val="14"/>
                <w:szCs w:val="14"/>
                <w:b w:val="1"/>
                <w:bCs w:val="1"/>
                <w:color w:val="auto"/>
                <w:w w:val="81"/>
              </w:rPr>
              <w:t>exercise</w:t>
            </w: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Number</w:t>
            </w:r>
          </w:p>
        </w:tc>
        <w:tc>
          <w:tcPr>
            <w:tcW w:w="1500" w:type="dxa"/>
            <w:vAlign w:val="bottom"/>
          </w:tcPr>
          <w:p>
            <w:pPr>
              <w:spacing w:after="0"/>
              <w:rPr>
                <w:sz w:val="12"/>
                <w:szCs w:val="12"/>
                <w:color w:val="auto"/>
              </w:rPr>
            </w:pP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1"/>
              </w:rPr>
              <w:t>exercise</w:t>
            </w:r>
          </w:p>
        </w:tc>
      </w:tr>
      <w:tr>
        <w:trPr>
          <w:trHeight w:val="161"/>
        </w:trPr>
        <w:tc>
          <w:tcPr>
            <w:tcW w:w="2240" w:type="dxa"/>
            <w:vAlign w:val="bottom"/>
          </w:tcPr>
          <w:p>
            <w:pPr>
              <w:jc w:val="center"/>
              <w:ind w:right="1304"/>
              <w:spacing w:after="0"/>
              <w:rPr>
                <w:sz w:val="20"/>
                <w:szCs w:val="20"/>
                <w:color w:val="auto"/>
              </w:rPr>
            </w:pPr>
            <w:r>
              <w:rPr>
                <w:rFonts w:ascii="Arial" w:cs="Arial" w:eastAsia="Arial" w:hAnsi="Arial"/>
                <w:sz w:val="14"/>
                <w:szCs w:val="14"/>
                <w:b w:val="1"/>
                <w:bCs w:val="1"/>
                <w:color w:val="auto"/>
                <w:w w:val="80"/>
              </w:rPr>
              <w:t>Prices</w:t>
            </w:r>
          </w:p>
        </w:tc>
        <w:tc>
          <w:tcPr>
            <w:tcW w:w="12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2"/>
              </w:rPr>
              <w:t>outstanding</w:t>
            </w:r>
          </w:p>
        </w:tc>
        <w:tc>
          <w:tcPr>
            <w:tcW w:w="920" w:type="dxa"/>
            <w:vAlign w:val="bottom"/>
          </w:tcPr>
          <w:p>
            <w:pPr>
              <w:spacing w:after="0"/>
              <w:rPr>
                <w:sz w:val="14"/>
                <w:szCs w:val="14"/>
                <w:color w:val="auto"/>
              </w:rPr>
            </w:pPr>
          </w:p>
        </w:tc>
        <w:tc>
          <w:tcPr>
            <w:tcW w:w="2100" w:type="dxa"/>
            <w:vAlign w:val="bottom"/>
            <w:gridSpan w:val="2"/>
          </w:tcPr>
          <w:p>
            <w:pPr>
              <w:jc w:val="right"/>
              <w:ind w:right="1500"/>
              <w:spacing w:after="0"/>
              <w:rPr>
                <w:sz w:val="20"/>
                <w:szCs w:val="20"/>
                <w:color w:val="auto"/>
              </w:rPr>
            </w:pPr>
            <w:r>
              <w:rPr>
                <w:rFonts w:ascii="Arial" w:cs="Arial" w:eastAsia="Arial" w:hAnsi="Arial"/>
                <w:sz w:val="14"/>
                <w:szCs w:val="14"/>
                <w:b w:val="1"/>
                <w:bCs w:val="1"/>
                <w:color w:val="auto"/>
                <w:w w:val="82"/>
              </w:rPr>
              <w:t>life (years)</w:t>
            </w:r>
          </w:p>
        </w:tc>
        <w:tc>
          <w:tcPr>
            <w:tcW w:w="120" w:type="dxa"/>
            <w:vAlign w:val="bottom"/>
          </w:tcPr>
          <w:p>
            <w:pPr>
              <w:spacing w:after="0"/>
              <w:rPr>
                <w:sz w:val="14"/>
                <w:szCs w:val="14"/>
                <w:color w:val="auto"/>
              </w:rPr>
            </w:pPr>
          </w:p>
        </w:tc>
        <w:tc>
          <w:tcPr>
            <w:tcW w:w="1960" w:type="dxa"/>
            <w:vAlign w:val="bottom"/>
            <w:gridSpan w:val="2"/>
          </w:tcPr>
          <w:p>
            <w:pPr>
              <w:jc w:val="center"/>
              <w:ind w:right="1620"/>
              <w:spacing w:after="0"/>
              <w:rPr>
                <w:sz w:val="20"/>
                <w:szCs w:val="20"/>
                <w:color w:val="auto"/>
              </w:rPr>
            </w:pPr>
            <w:r>
              <w:rPr>
                <w:rFonts w:ascii="Arial" w:cs="Arial" w:eastAsia="Arial" w:hAnsi="Arial"/>
                <w:sz w:val="14"/>
                <w:szCs w:val="14"/>
                <w:b w:val="1"/>
                <w:bCs w:val="1"/>
                <w:color w:val="auto"/>
                <w:w w:val="89"/>
              </w:rPr>
              <w:t>price</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81"/>
              </w:rPr>
              <w:t>exercisable</w:t>
            </w: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price</w:t>
            </w:r>
          </w:p>
        </w:tc>
      </w:tr>
      <w:tr>
        <w:trPr>
          <w:trHeight w:val="210"/>
        </w:trPr>
        <w:tc>
          <w:tcPr>
            <w:tcW w:w="2240" w:type="dxa"/>
            <w:vAlign w:val="bottom"/>
            <w:tcBorders>
              <w:top w:val="single" w:sz="8" w:color="CCEEFF"/>
            </w:tcBorders>
            <w:shd w:val="clear" w:color="auto" w:fill="CCEEFF"/>
          </w:tcPr>
          <w:p>
            <w:pPr>
              <w:jc w:val="center"/>
              <w:ind w:right="1304"/>
              <w:spacing w:after="0" w:line="202" w:lineRule="exact"/>
              <w:rPr>
                <w:sz w:val="20"/>
                <w:szCs w:val="20"/>
                <w:color w:val="auto"/>
              </w:rPr>
            </w:pPr>
            <w:r>
              <w:rPr>
                <w:rFonts w:ascii="Arial" w:cs="Arial" w:eastAsia="Arial" w:hAnsi="Arial"/>
                <w:sz w:val="18"/>
                <w:szCs w:val="18"/>
                <w:color w:val="auto"/>
                <w:w w:val="89"/>
              </w:rPr>
              <w:t>$2.75 - 3.56</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395,500</w:t>
            </w:r>
          </w:p>
        </w:tc>
        <w:tc>
          <w:tcPr>
            <w:tcW w:w="5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1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4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307,985</w:t>
            </w:r>
          </w:p>
        </w:tc>
        <w:tc>
          <w:tcPr>
            <w:tcW w:w="1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240" w:type="dxa"/>
            <w:vAlign w:val="bottom"/>
          </w:tcPr>
          <w:p>
            <w:pPr>
              <w:jc w:val="center"/>
              <w:ind w:right="1304"/>
              <w:spacing w:after="0"/>
              <w:rPr>
                <w:sz w:val="20"/>
                <w:szCs w:val="20"/>
                <w:color w:val="auto"/>
              </w:rPr>
            </w:pPr>
            <w:r>
              <w:rPr>
                <w:rFonts w:ascii="Arial" w:cs="Arial" w:eastAsia="Arial" w:hAnsi="Arial"/>
                <w:sz w:val="18"/>
                <w:szCs w:val="18"/>
                <w:color w:val="auto"/>
                <w:w w:val="89"/>
              </w:rPr>
              <w:t>$4.31 - 4.72</w:t>
            </w: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515,500</w:t>
            </w:r>
          </w:p>
        </w:tc>
        <w:tc>
          <w:tcPr>
            <w:tcW w:w="3020" w:type="dxa"/>
            <w:vAlign w:val="bottom"/>
            <w:gridSpan w:val="3"/>
          </w:tcPr>
          <w:p>
            <w:pPr>
              <w:jc w:val="right"/>
              <w:ind w:right="1480"/>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960" w:type="dxa"/>
            <w:vAlign w:val="bottom"/>
            <w:gridSpan w:val="2"/>
          </w:tcPr>
          <w:p>
            <w:pPr>
              <w:jc w:val="right"/>
              <w:ind w:right="1480"/>
              <w:spacing w:after="0"/>
              <w:rPr>
                <w:sz w:val="20"/>
                <w:szCs w:val="20"/>
                <w:color w:val="auto"/>
              </w:rPr>
            </w:pPr>
            <w:r>
              <w:rPr>
                <w:rFonts w:ascii="Arial" w:cs="Arial" w:eastAsia="Arial" w:hAnsi="Arial"/>
                <w:sz w:val="18"/>
                <w:szCs w:val="18"/>
                <w:color w:val="auto"/>
              </w:rPr>
              <w:t>4.63</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260,490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18"/>
                <w:szCs w:val="18"/>
                <w:color w:val="auto"/>
              </w:rPr>
            </w:pPr>
          </w:p>
        </w:tc>
      </w:tr>
      <w:tr>
        <w:trPr>
          <w:trHeight w:val="27"/>
        </w:trPr>
        <w:tc>
          <w:tcPr>
            <w:tcW w:w="2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911,000</w:t>
            </w:r>
          </w:p>
        </w:tc>
        <w:tc>
          <w:tcPr>
            <w:tcW w:w="3020" w:type="dxa"/>
            <w:vAlign w:val="bottom"/>
            <w:gridSpan w:val="3"/>
            <w:shd w:val="clear" w:color="auto" w:fill="CCEEFF"/>
          </w:tcPr>
          <w:p>
            <w:pPr>
              <w:jc w:val="right"/>
              <w:ind w:right="1480"/>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960" w:type="dxa"/>
            <w:vAlign w:val="bottom"/>
            <w:gridSpan w:val="2"/>
            <w:shd w:val="clear" w:color="auto" w:fill="CCEEFF"/>
          </w:tcPr>
          <w:p>
            <w:pPr>
              <w:jc w:val="right"/>
              <w:ind w:right="1480"/>
              <w:spacing w:after="0"/>
              <w:rPr>
                <w:sz w:val="20"/>
                <w:szCs w:val="20"/>
                <w:color w:val="auto"/>
              </w:rPr>
            </w:pPr>
            <w:r>
              <w:rPr>
                <w:rFonts w:ascii="Arial" w:cs="Arial" w:eastAsia="Arial" w:hAnsi="Arial"/>
                <w:sz w:val="18"/>
                <w:szCs w:val="18"/>
                <w:color w:val="auto"/>
              </w:rPr>
              <w:t>4.17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568,475</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CEEFF"/>
          </w:tcPr>
          <w:p>
            <w:pPr>
              <w:spacing w:after="0"/>
              <w:rPr>
                <w:sz w:val="18"/>
                <w:szCs w:val="18"/>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42" w:lineRule="exact"/>
        <w:rPr>
          <w:sz w:val="20"/>
          <w:szCs w:val="20"/>
          <w:color w:val="auto"/>
        </w:rPr>
      </w:pPr>
    </w:p>
    <w:p>
      <w:pPr>
        <w:ind w:right="9580" w:firstLine="8"/>
        <w:spacing w:after="0" w:line="391" w:lineRule="auto"/>
        <w:tabs>
          <w:tab w:leader="none" w:pos="254"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Stockholders’ Equity Warrants</w:t>
      </w:r>
    </w:p>
    <w:p>
      <w:pPr>
        <w:spacing w:after="0" w:line="1"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In connection with prior financing arrangements, certain investors held 733,945 warrants which were exercisable for shares of BPO’s, common stock at $1.09 per share under the terms of their original issuance. Each warrant represented the right to purchase one share of the Company’s common stock. These warrants were exercised on August 31, 2008. The Company issued 685,909 shares on net exercise of the warrants.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Convertible Preferred Stock</w:t>
      </w:r>
    </w:p>
    <w:p>
      <w:pPr>
        <w:spacing w:after="0" w:line="96" w:lineRule="exact"/>
        <w:rPr>
          <w:sz w:val="20"/>
          <w:szCs w:val="20"/>
          <w:color w:val="auto"/>
        </w:rPr>
      </w:pPr>
    </w:p>
    <w:p>
      <w:pPr>
        <w:ind w:right="80"/>
        <w:spacing w:after="0" w:line="335" w:lineRule="auto"/>
        <w:rPr>
          <w:sz w:val="20"/>
          <w:szCs w:val="20"/>
          <w:color w:val="auto"/>
        </w:rPr>
      </w:pPr>
      <w:r>
        <w:rPr>
          <w:rFonts w:ascii="Arial" w:cs="Arial" w:eastAsia="Arial" w:hAnsi="Arial"/>
          <w:sz w:val="15"/>
          <w:szCs w:val="15"/>
          <w:color w:val="auto"/>
        </w:rPr>
        <w:t>The holder of each share of the Series A Convertible Preferred stock (“Series A Preferred”) is entitled to the number of votes equal to the number of shares of common stock into which each share of the Series A Preferred could be converted at that date. The Series A Preferred holders are entitled to dividends of $0.065 annually per share only if and when declared by the Board of Directors from accumulated earnings. Series A Preferred stock is junior to Series B Preferred stock.</w:t>
      </w:r>
    </w:p>
    <w:p>
      <w:pPr>
        <w:spacing w:after="0" w:line="88"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Each share of Series A Preferred is convertible into one ordinary share, which is subject to anti-dilution adjustment. The adjustment represents a contingent beneficial conversion feature. If the Company were to recognize a charge, it would be computed based on the additional equity shares to be issued as a result of the anti-dilution adjustment multiplied by the value of the common stock at the time the preferred shares were issued.</w:t>
      </w:r>
    </w:p>
    <w:p>
      <w:pPr>
        <w:spacing w:after="0" w:line="10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All Series A Preferred shares automatically convert upon a qualified public offering or the sale of the business, as defined. Upon a liquidation or dissolution event and after payment to the holders of the Series B preferred stock, holders of the Series A Preferred stock are entitled to receive the greater of (i) 100 percent of the original issue price or the value the Series A Preferred stock on an as-converted basis (ii) plus all declared but unpaid dividends. These funds would be distributed before any distribution to the holders of common stock.</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Business Process Outsourcing, Inc.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December 31, 2010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(Dollars in thousands, except per share amounts)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B Convertible Preferred Stock</w:t>
      </w:r>
    </w:p>
    <w:p>
      <w:pPr>
        <w:spacing w:after="0" w:line="9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Series B Convertible Preferred stock (“Series B Preferred”) holders have the right to convert their shares at any time, into shares of common stock. The conversion rate is 1:1 and is subject to anti dilution adjustment. The adjustment represents a contingent beneficial conversion feature. If the Company were to recognize a charge, it would be computed based on the additional equity shares to be issued as a result of the anti dilution adjustment multiplied by the value of the common stock at the time the preferred shares were issued.</w:t>
      </w:r>
    </w:p>
    <w:p>
      <w:pPr>
        <w:spacing w:after="0" w:line="14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Series B Preferred is senior to Series A Preferred and common stock. The holders of the Series B Preferred are entitled to $0.15 annual dividends per share only if and when declared by the Board of Directors from accumulated earnings. In the event of any liquidation or winding up of the business, the holders of the Series B Preferred are entitled to receive, in preference to the holders of junior securities, an amount equal to (i) the greater of 100% of the original issue price per share of Series B Preferred or the amount per share the holders of Series B Preferred would receive if all Preferred shares were converted to common stock, plus (ii) all declared but unpaid dividends. All Series B Preferred Shares automatically convert upon a qualified public offering, as defined.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 Party Transactions</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2010, 2009 and 2008, the Company recorded revenue of $5,650, $4,991 and $2,939, respectively related to services provided in the ordinary course of business to Cargill, Incorporated (“Cargill”), a stockholder of the Company. As of December 31, 2010 and 2009, the Company had accounts receivable of $824 and $532 and unbilled revenues amounting to $0 and $56.</w:t>
      </w:r>
    </w:p>
    <w:p>
      <w:pPr>
        <w:spacing w:after="0" w:line="14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During 2010, 2009 and 2008, the Company recorded revenues of $617, $1,268 and $1,328, respectively, related to services provided in the ordinary course of business to Open Business Exchange Limited, an affiliate of Cargill. As of December 31, 2010 and 2009, the Company had accounts receivable of $127 and $264, respectively and no unbilled revenues.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80" w:right="259" w:bottom="1440" w:gutter="0" w:footer="0" w:header="0"/>
        </w:sectPr>
      </w:pPr>
    </w:p>
    <w:bookmarkStart w:id="32" w:name="page33"/>
    <w:bookmarkEnd w:id="32"/>
    <w:p>
      <w:pPr>
        <w:jc w:val="center"/>
        <w:ind w:right="-1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Business Process Outsourcing, Inc.</w:t>
      </w:r>
    </w:p>
    <w:p>
      <w:pPr>
        <w:spacing w:after="0" w:line="1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December 31, 2010</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(Dollars in thousands, except per share amounts)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Geographical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Net property and equipment by country was as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4"/>
          </w:tcPr>
          <w:p>
            <w:pPr>
              <w:ind w:left="260"/>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38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78"/>
              <w:spacing w:after="0"/>
              <w:rPr>
                <w:sz w:val="20"/>
                <w:szCs w:val="20"/>
                <w:color w:val="auto"/>
              </w:rPr>
            </w:pPr>
            <w:r>
              <w:rPr>
                <w:rFonts w:ascii="Arial" w:cs="Arial" w:eastAsia="Arial" w:hAnsi="Arial"/>
                <w:sz w:val="14"/>
                <w:szCs w:val="14"/>
                <w:b w:val="1"/>
                <w:bCs w:val="1"/>
                <w:color w:val="auto"/>
                <w:w w:val="96"/>
              </w:rPr>
              <w:t>2010</w:t>
            </w:r>
          </w:p>
        </w:tc>
        <w:tc>
          <w:tcPr>
            <w:tcW w:w="94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38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India</w:t>
            </w:r>
          </w:p>
        </w:tc>
        <w:tc>
          <w:tcPr>
            <w:tcW w:w="3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9,576</w:t>
            </w:r>
          </w:p>
        </w:tc>
        <w:tc>
          <w:tcPr>
            <w:tcW w:w="4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$9,089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U.S.</w:t>
            </w: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Bulgaria</w:t>
            </w:r>
          </w:p>
        </w:tc>
        <w:tc>
          <w:tcPr>
            <w:tcW w:w="3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18"/>
                <w:szCs w:val="18"/>
                <w:color w:val="auto"/>
              </w:rPr>
            </w:pPr>
          </w:p>
        </w:tc>
      </w:tr>
      <w:tr>
        <w:trPr>
          <w:trHeight w:val="223"/>
        </w:trPr>
        <w:tc>
          <w:tcPr>
            <w:tcW w:w="3840" w:type="dxa"/>
            <w:vAlign w:val="bottom"/>
          </w:tcPr>
          <w:p>
            <w:pPr>
              <w:spacing w:after="0"/>
              <w:rPr>
                <w:sz w:val="20"/>
                <w:szCs w:val="20"/>
                <w:color w:val="auto"/>
              </w:rPr>
            </w:pPr>
            <w:r>
              <w:rPr>
                <w:rFonts w:ascii="Arial" w:cs="Arial" w:eastAsia="Arial" w:hAnsi="Arial"/>
                <w:sz w:val="18"/>
                <w:szCs w:val="18"/>
                <w:color w:val="auto"/>
              </w:rPr>
              <w:t>Others</w:t>
            </w:r>
          </w:p>
        </w:tc>
        <w:tc>
          <w:tcPr>
            <w:tcW w:w="3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4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r>
      <w:tr>
        <w:trPr>
          <w:trHeight w:val="216"/>
        </w:trPr>
        <w:tc>
          <w:tcPr>
            <w:tcW w:w="3840" w:type="dxa"/>
            <w:vAlign w:val="bottom"/>
            <w:shd w:val="clear" w:color="auto" w:fill="CCEEFF"/>
          </w:tcPr>
          <w:p>
            <w:pPr>
              <w:spacing w:after="0"/>
              <w:rPr>
                <w:sz w:val="18"/>
                <w:szCs w:val="18"/>
                <w:color w:val="auto"/>
              </w:rPr>
            </w:pP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10,074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9,762</w:t>
            </w:r>
          </w:p>
        </w:tc>
        <w:tc>
          <w:tcPr>
            <w:tcW w:w="100" w:type="dxa"/>
            <w:vAlign w:val="bottom"/>
            <w:shd w:val="clear" w:color="auto" w:fill="CCEEFF"/>
          </w:tcPr>
          <w:p>
            <w:pPr>
              <w:spacing w:after="0"/>
              <w:rPr>
                <w:sz w:val="18"/>
                <w:szCs w:val="18"/>
                <w:color w:val="auto"/>
              </w:rPr>
            </w:pPr>
          </w:p>
        </w:tc>
      </w:tr>
      <w:tr>
        <w:trPr>
          <w:trHeight w:val="20"/>
        </w:trPr>
        <w:tc>
          <w:tcPr>
            <w:tcW w:w="38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Notes Receivable</w:t>
      </w:r>
    </w:p>
    <w:p>
      <w:pPr>
        <w:spacing w:after="0" w:line="96" w:lineRule="exact"/>
        <w:rPr>
          <w:sz w:val="20"/>
          <w:szCs w:val="20"/>
          <w:color w:val="auto"/>
        </w:rPr>
      </w:pPr>
    </w:p>
    <w:p>
      <w:pPr>
        <w:ind w:right="200"/>
        <w:spacing w:after="0" w:line="335" w:lineRule="auto"/>
        <w:rPr>
          <w:sz w:val="20"/>
          <w:szCs w:val="20"/>
          <w:color w:val="auto"/>
        </w:rPr>
      </w:pPr>
      <w:r>
        <w:rPr>
          <w:rFonts w:ascii="Arial" w:cs="Arial" w:eastAsia="Arial" w:hAnsi="Arial"/>
          <w:sz w:val="15"/>
          <w:szCs w:val="15"/>
          <w:color w:val="auto"/>
        </w:rPr>
        <w:t>During 2010 and 2009, the Company permitted its employees to exercise otherwise expiring stock options by execution of promissory notes. The promissory notes are repayable to the Company within 2 years from date of issue, in quarterly installments and bear a simple interest of 7%. The employees issued promissory notes of $277 and $211 during 2010 and 2009 respectively, of which $404 and $190 was outstanding as at December 31, 2010 and 2009.</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Transaction Expenses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During 2010, the Company incurred $334 of professional fees and other out-of-pocket expenses in connection with a potential transaction which may result in a change of control. Such expenses were classified as general and administrative expenses.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96"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On May 31, 2011, ExlService Holdings, Inc. acquired 100% of the outstanding common stock of the Company for $91 million subject to adjustment based on working capital, debt, closing cash and transaction expenses in connection with the consummation of the transactions contemplated as of the date of acquisition.</w:t>
      </w:r>
    </w:p>
    <w:p>
      <w:pPr>
        <w:spacing w:after="0" w:line="4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60"/>
          </w:cols>
          <w:pgMar w:left="240" w:top="280" w:right="39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Unaudited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Process Outsourcing, Inc. and Subsidiaries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9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77"/>
              </w:rPr>
              <w:t>Page</w:t>
            </w:r>
          </w:p>
        </w:tc>
      </w:tr>
      <w:tr>
        <w:trPr>
          <w:trHeight w:val="316"/>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9200" w:type="dxa"/>
            <w:vAlign w:val="bottom"/>
          </w:tcPr>
          <w:p>
            <w:pPr>
              <w:ind w:left="160"/>
              <w:spacing w:after="0"/>
              <w:rPr>
                <w:sz w:val="20"/>
                <w:szCs w:val="20"/>
                <w:color w:val="auto"/>
              </w:rPr>
            </w:pPr>
            <w:r>
              <w:rPr>
                <w:rFonts w:ascii="Arial" w:cs="Arial" w:eastAsia="Arial" w:hAnsi="Arial"/>
                <w:sz w:val="18"/>
                <w:szCs w:val="18"/>
                <w:color w:val="auto"/>
              </w:rPr>
              <w:t>Unaudited Consolidated Balance Sheet as of March 31, 2011</w:t>
            </w:r>
          </w:p>
        </w:tc>
        <w:tc>
          <w:tcPr>
            <w:tcW w:w="2000" w:type="dxa"/>
            <w:vAlign w:val="bottom"/>
            <w:gridSpan w:val="2"/>
          </w:tcPr>
          <w:p>
            <w:pPr>
              <w:ind w:left="1700"/>
              <w:spacing w:after="0"/>
              <w:rPr>
                <w:sz w:val="20"/>
                <w:szCs w:val="20"/>
                <w:color w:val="auto"/>
              </w:rPr>
            </w:pPr>
            <w:r>
              <w:rPr>
                <w:rFonts w:ascii="Arial" w:cs="Arial" w:eastAsia="Arial" w:hAnsi="Arial"/>
                <w:sz w:val="18"/>
                <w:szCs w:val="18"/>
                <w:color w:val="auto"/>
              </w:rPr>
              <w:t>29</w:t>
            </w:r>
          </w:p>
        </w:tc>
      </w:tr>
      <w:tr>
        <w:trPr>
          <w:trHeight w:val="324"/>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9200" w:type="dxa"/>
            <w:vAlign w:val="bottom"/>
          </w:tcPr>
          <w:p>
            <w:pPr>
              <w:ind w:left="160"/>
              <w:spacing w:after="0"/>
              <w:rPr>
                <w:sz w:val="20"/>
                <w:szCs w:val="20"/>
                <w:color w:val="auto"/>
              </w:rPr>
            </w:pPr>
            <w:r>
              <w:rPr>
                <w:rFonts w:ascii="Arial" w:cs="Arial" w:eastAsia="Arial" w:hAnsi="Arial"/>
                <w:sz w:val="18"/>
                <w:szCs w:val="18"/>
                <w:color w:val="auto"/>
              </w:rPr>
              <w:t>Unaudited Consolidated Statements of Operations for the three months ended March 31, 2011 and 2010</w:t>
            </w:r>
          </w:p>
        </w:tc>
        <w:tc>
          <w:tcPr>
            <w:tcW w:w="2000" w:type="dxa"/>
            <w:vAlign w:val="bottom"/>
            <w:gridSpan w:val="2"/>
          </w:tcPr>
          <w:p>
            <w:pPr>
              <w:ind w:left="1700"/>
              <w:spacing w:after="0"/>
              <w:rPr>
                <w:sz w:val="20"/>
                <w:szCs w:val="20"/>
                <w:color w:val="auto"/>
              </w:rPr>
            </w:pPr>
            <w:r>
              <w:rPr>
                <w:rFonts w:ascii="Arial" w:cs="Arial" w:eastAsia="Arial" w:hAnsi="Arial"/>
                <w:sz w:val="18"/>
                <w:szCs w:val="18"/>
                <w:color w:val="auto"/>
              </w:rPr>
              <w:t>30</w:t>
            </w:r>
          </w:p>
        </w:tc>
      </w:tr>
      <w:tr>
        <w:trPr>
          <w:trHeight w:val="324"/>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9200" w:type="dxa"/>
            <w:vAlign w:val="bottom"/>
          </w:tcPr>
          <w:p>
            <w:pPr>
              <w:ind w:left="160"/>
              <w:spacing w:after="0"/>
              <w:rPr>
                <w:sz w:val="20"/>
                <w:szCs w:val="20"/>
                <w:color w:val="auto"/>
              </w:rPr>
            </w:pPr>
            <w:r>
              <w:rPr>
                <w:rFonts w:ascii="Arial" w:cs="Arial" w:eastAsia="Arial" w:hAnsi="Arial"/>
                <w:sz w:val="18"/>
                <w:szCs w:val="18"/>
                <w:color w:val="auto"/>
              </w:rPr>
              <w:t>Unaudited Consolidated Statements of Cash Flows for the three months ended March 31, 2011 and 2010</w:t>
            </w:r>
          </w:p>
        </w:tc>
        <w:tc>
          <w:tcPr>
            <w:tcW w:w="2000" w:type="dxa"/>
            <w:vAlign w:val="bottom"/>
            <w:gridSpan w:val="2"/>
          </w:tcPr>
          <w:p>
            <w:pPr>
              <w:ind w:left="1700"/>
              <w:spacing w:after="0"/>
              <w:rPr>
                <w:sz w:val="20"/>
                <w:szCs w:val="20"/>
                <w:color w:val="auto"/>
              </w:rPr>
            </w:pPr>
            <w:r>
              <w:rPr>
                <w:rFonts w:ascii="Arial" w:cs="Arial" w:eastAsia="Arial" w:hAnsi="Arial"/>
                <w:sz w:val="18"/>
                <w:szCs w:val="18"/>
                <w:color w:val="auto"/>
              </w:rPr>
              <w:t>31</w:t>
            </w:r>
          </w:p>
        </w:tc>
      </w:tr>
      <w:tr>
        <w:trPr>
          <w:trHeight w:val="324"/>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9200" w:type="dxa"/>
            <w:vAlign w:val="bottom"/>
          </w:tcPr>
          <w:p>
            <w:pPr>
              <w:ind w:left="160"/>
              <w:spacing w:after="0"/>
              <w:rPr>
                <w:sz w:val="20"/>
                <w:szCs w:val="20"/>
                <w:color w:val="auto"/>
              </w:rPr>
            </w:pPr>
            <w:r>
              <w:rPr>
                <w:rFonts w:ascii="Arial" w:cs="Arial" w:eastAsia="Arial" w:hAnsi="Arial"/>
                <w:sz w:val="18"/>
                <w:szCs w:val="18"/>
                <w:color w:val="auto"/>
              </w:rPr>
              <w:t>Notes to the Unaudited Consolidated Financial Statements</w:t>
            </w:r>
          </w:p>
        </w:tc>
        <w:tc>
          <w:tcPr>
            <w:tcW w:w="2000" w:type="dxa"/>
            <w:vAlign w:val="bottom"/>
            <w:gridSpan w:val="2"/>
          </w:tcPr>
          <w:p>
            <w:pPr>
              <w:ind w:left="1700"/>
              <w:spacing w:after="0"/>
              <w:rPr>
                <w:sz w:val="20"/>
                <w:szCs w:val="20"/>
                <w:color w:val="auto"/>
              </w:rPr>
            </w:pPr>
            <w:r>
              <w:rPr>
                <w:rFonts w:ascii="Arial" w:cs="Arial" w:eastAsia="Arial" w:hAnsi="Arial"/>
                <w:sz w:val="18"/>
                <w:szCs w:val="18"/>
                <w:color w:val="auto"/>
              </w:rPr>
              <w:t>32</w:t>
            </w:r>
          </w:p>
        </w:tc>
      </w:tr>
      <w:tr>
        <w:trPr>
          <w:trHeight w:val="365"/>
        </w:trPr>
        <w:tc>
          <w:tcPr>
            <w:tcW w:w="220" w:type="dxa"/>
            <w:vAlign w:val="bottom"/>
          </w:tcPr>
          <w:p>
            <w:pPr>
              <w:spacing w:after="0"/>
              <w:rPr>
                <w:sz w:val="24"/>
                <w:szCs w:val="24"/>
                <w:color w:val="auto"/>
              </w:rPr>
            </w:pPr>
          </w:p>
        </w:tc>
        <w:tc>
          <w:tcPr>
            <w:tcW w:w="9200" w:type="dxa"/>
            <w:vAlign w:val="bottom"/>
          </w:tcPr>
          <w:p>
            <w:pPr>
              <w:ind w:left="5400"/>
              <w:spacing w:after="0"/>
              <w:rPr>
                <w:sz w:val="20"/>
                <w:szCs w:val="20"/>
                <w:color w:val="auto"/>
              </w:rPr>
            </w:pPr>
            <w:r>
              <w:rPr>
                <w:rFonts w:ascii="Arial" w:cs="Arial" w:eastAsia="Arial" w:hAnsi="Arial"/>
                <w:sz w:val="18"/>
                <w:szCs w:val="18"/>
                <w:color w:val="auto"/>
              </w:rPr>
              <w:t>28</w:t>
            </w: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BUSINESS PROCESS OUTSOURCING,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 except share and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500" w:type="dxa"/>
            <w:vAlign w:val="bottom"/>
          </w:tcPr>
          <w:p>
            <w:pPr>
              <w:spacing w:after="0"/>
              <w:rPr>
                <w:sz w:val="15"/>
                <w:szCs w:val="15"/>
                <w:color w:val="auto"/>
              </w:rPr>
            </w:pPr>
          </w:p>
        </w:tc>
        <w:tc>
          <w:tcPr>
            <w:tcW w:w="1700" w:type="dxa"/>
            <w:vAlign w:val="bottom"/>
            <w:gridSpan w:val="3"/>
          </w:tcPr>
          <w:p>
            <w:pPr>
              <w:spacing w:after="0"/>
              <w:rPr>
                <w:sz w:val="20"/>
                <w:szCs w:val="20"/>
                <w:color w:val="auto"/>
              </w:rPr>
            </w:pPr>
            <w:r>
              <w:rPr>
                <w:rFonts w:ascii="Arial" w:cs="Arial" w:eastAsia="Arial" w:hAnsi="Arial"/>
                <w:sz w:val="14"/>
                <w:szCs w:val="14"/>
                <w:b w:val="1"/>
                <w:bCs w:val="1"/>
                <w:color w:val="auto"/>
              </w:rPr>
              <w:t>March 31, 2011</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2010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w w:val="89"/>
              </w:rPr>
              <w:t>(Unaudited)</w:t>
            </w: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852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16,452</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75</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4,294</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Accounts receivable from related parties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965</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Unbilled receivable</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773</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Prepaid expenses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962</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Notes receivable</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349</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3,890</w:t>
            </w:r>
          </w:p>
        </w:tc>
        <w:tc>
          <w:tcPr>
            <w:tcW w:w="8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27,760</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24,465</w:t>
            </w:r>
          </w:p>
        </w:tc>
        <w:tc>
          <w:tcPr>
            <w:tcW w:w="0" w:type="dxa"/>
            <w:vAlign w:val="bottom"/>
          </w:tcPr>
          <w:p>
            <w:pPr>
              <w:spacing w:after="0"/>
              <w:rPr>
                <w:sz w:val="1"/>
                <w:szCs w:val="1"/>
                <w:color w:val="auto"/>
              </w:rPr>
            </w:pPr>
          </w:p>
        </w:tc>
      </w:tr>
      <w:tr>
        <w:trPr>
          <w:trHeight w:val="330"/>
        </w:trPr>
        <w:tc>
          <w:tcPr>
            <w:tcW w:w="8520" w:type="dxa"/>
            <w:vAlign w:val="bottom"/>
            <w:gridSpan w:val="2"/>
          </w:tcPr>
          <w:p>
            <w:pPr>
              <w:spacing w:after="0"/>
              <w:rPr>
                <w:sz w:val="20"/>
                <w:szCs w:val="20"/>
                <w:color w:val="auto"/>
              </w:rPr>
            </w:pPr>
            <w:r>
              <w:rPr>
                <w:rFonts w:ascii="Arial" w:cs="Arial" w:eastAsia="Arial" w:hAnsi="Arial"/>
                <w:sz w:val="18"/>
                <w:szCs w:val="18"/>
                <w:b w:val="1"/>
                <w:bCs w:val="1"/>
                <w:color w:val="auto"/>
              </w:rPr>
              <w:t>Non-current assets:</w:t>
            </w:r>
          </w:p>
        </w:tc>
        <w:tc>
          <w:tcPr>
            <w:tcW w:w="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208</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Security deposits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3,745</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and equipment, net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9,753</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Goodwill</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1,976</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741</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539</w:t>
            </w:r>
          </w:p>
        </w:tc>
        <w:tc>
          <w:tcPr>
            <w:tcW w:w="8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16,962</w:t>
            </w:r>
          </w:p>
        </w:tc>
        <w:tc>
          <w:tcPr>
            <w:tcW w:w="8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52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80" w:type="dxa"/>
            <w:vAlign w:val="bottom"/>
          </w:tcPr>
          <w:p>
            <w:pPr>
              <w:spacing w:after="0"/>
              <w:rPr>
                <w:sz w:val="20"/>
                <w:szCs w:val="20"/>
                <w:color w:val="auto"/>
              </w:rPr>
            </w:pPr>
            <w:r>
              <w:rPr>
                <w:rFonts w:ascii="Arial" w:cs="Arial" w:eastAsia="Arial" w:hAnsi="Arial"/>
                <w:sz w:val="15"/>
                <w:szCs w:val="15"/>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44,722</w:t>
            </w:r>
          </w:p>
        </w:tc>
        <w:tc>
          <w:tcPr>
            <w:tcW w:w="82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41,781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52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425</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Accrued employee costs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4,985</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3,628</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Short-term borrowing</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390</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capital lease obligations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2,237</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Deferred revenue and payments in advance</w:t>
            </w: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2,446</w:t>
            </w:r>
          </w:p>
        </w:tc>
        <w:tc>
          <w:tcPr>
            <w:tcW w:w="8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b w:val="1"/>
                <w:bCs w:val="1"/>
                <w:color w:val="auto"/>
              </w:rPr>
              <w:t>14,111</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13,007</w:t>
            </w:r>
          </w:p>
        </w:tc>
        <w:tc>
          <w:tcPr>
            <w:tcW w:w="0" w:type="dxa"/>
            <w:vAlign w:val="bottom"/>
          </w:tcPr>
          <w:p>
            <w:pPr>
              <w:spacing w:after="0"/>
              <w:rPr>
                <w:sz w:val="1"/>
                <w:szCs w:val="1"/>
                <w:color w:val="auto"/>
              </w:rPr>
            </w:pPr>
          </w:p>
        </w:tc>
      </w:tr>
      <w:tr>
        <w:trPr>
          <w:trHeight w:val="330"/>
        </w:trPr>
        <w:tc>
          <w:tcPr>
            <w:tcW w:w="8520" w:type="dxa"/>
            <w:vAlign w:val="bottom"/>
            <w:gridSpan w:val="2"/>
          </w:tcPr>
          <w:p>
            <w:pPr>
              <w:spacing w:after="0"/>
              <w:rPr>
                <w:sz w:val="20"/>
                <w:szCs w:val="20"/>
                <w:color w:val="auto"/>
              </w:rPr>
            </w:pPr>
            <w:r>
              <w:rPr>
                <w:rFonts w:ascii="Arial" w:cs="Arial" w:eastAsia="Arial" w:hAnsi="Arial"/>
                <w:sz w:val="18"/>
                <w:szCs w:val="18"/>
                <w:b w:val="1"/>
                <w:bCs w:val="1"/>
                <w:color w:val="auto"/>
              </w:rPr>
              <w:t>Non-current liabilities:</w:t>
            </w:r>
          </w:p>
        </w:tc>
        <w:tc>
          <w:tcPr>
            <w:tcW w:w="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lease obligations, less current portion</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5,832</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Other liabilities</w:t>
            </w: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2,651</w:t>
            </w:r>
          </w:p>
        </w:tc>
        <w:tc>
          <w:tcPr>
            <w:tcW w:w="8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8,483</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8,783</w:t>
            </w:r>
          </w:p>
        </w:tc>
        <w:tc>
          <w:tcPr>
            <w:tcW w:w="0" w:type="dxa"/>
            <w:vAlign w:val="bottom"/>
          </w:tcPr>
          <w:p>
            <w:pPr>
              <w:spacing w:after="0"/>
              <w:rPr>
                <w:sz w:val="1"/>
                <w:szCs w:val="1"/>
                <w:color w:val="auto"/>
              </w:rPr>
            </w:pPr>
          </w:p>
        </w:tc>
      </w:tr>
      <w:tr>
        <w:trPr>
          <w:trHeight w:val="329"/>
        </w:trPr>
        <w:tc>
          <w:tcPr>
            <w:tcW w:w="852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w:t>
            </w:r>
          </w:p>
        </w:tc>
        <w:tc>
          <w:tcPr>
            <w:tcW w:w="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Series A convertible preferred stock, $0.001 par value, 1,600,000 shares authorized, issued and</w:t>
            </w:r>
          </w:p>
        </w:tc>
        <w:tc>
          <w:tcPr>
            <w:tcW w:w="8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Pr>
          <w:p>
            <w:pPr>
              <w:ind w:left="640"/>
              <w:spacing w:after="0"/>
              <w:rPr>
                <w:sz w:val="20"/>
                <w:szCs w:val="20"/>
                <w:color w:val="auto"/>
              </w:rPr>
            </w:pPr>
            <w:r>
              <w:rPr>
                <w:rFonts w:ascii="Arial" w:cs="Arial" w:eastAsia="Arial" w:hAnsi="Arial"/>
                <w:sz w:val="18"/>
                <w:szCs w:val="18"/>
                <w:color w:val="auto"/>
              </w:rPr>
              <w:t>outstanding (liquidation preference $3,700)</w:t>
            </w:r>
          </w:p>
        </w:tc>
        <w:tc>
          <w:tcPr>
            <w:tcW w:w="8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7"/>
              </w:rPr>
              <w:t>Series B convertible preferred stock, $0.001 par value, 10,000,000 shares authorized; 9,340,000 shares</w:t>
            </w:r>
          </w:p>
        </w:tc>
        <w:tc>
          <w:tcPr>
            <w:tcW w:w="8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issued and outstanding (liquidation preference $24,183)</w:t>
            </w:r>
          </w:p>
        </w:tc>
        <w:tc>
          <w:tcPr>
            <w:tcW w:w="8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Common stock, $0.001 par value, 38,400,000 shares authorized; 10,370,897 shares issued and</w:t>
            </w:r>
          </w:p>
        </w:tc>
        <w:tc>
          <w:tcPr>
            <w:tcW w:w="8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Pr>
          <w:p>
            <w:pPr>
              <w:ind w:left="640"/>
              <w:spacing w:after="0"/>
              <w:rPr>
                <w:sz w:val="20"/>
                <w:szCs w:val="20"/>
                <w:color w:val="auto"/>
              </w:rPr>
            </w:pPr>
            <w:r>
              <w:rPr>
                <w:rFonts w:ascii="Arial" w:cs="Arial" w:eastAsia="Arial" w:hAnsi="Arial"/>
                <w:sz w:val="18"/>
                <w:szCs w:val="18"/>
                <w:color w:val="auto"/>
              </w:rPr>
              <w:t>outstanding as of March 31, 2011 and December 31, 2010</w:t>
            </w:r>
          </w:p>
        </w:tc>
        <w:tc>
          <w:tcPr>
            <w:tcW w:w="8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31,711</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18"/>
                <w:szCs w:val="18"/>
                <w:color w:val="auto"/>
              </w:rPr>
            </w:pPr>
          </w:p>
        </w:tc>
        <w:tc>
          <w:tcPr>
            <w:tcW w:w="162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(8,839)</w:t>
            </w:r>
          </w:p>
        </w:tc>
        <w:tc>
          <w:tcPr>
            <w:tcW w:w="3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(765)</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30"/>
        </w:trPr>
        <w:tc>
          <w:tcPr>
            <w:tcW w:w="8520" w:type="dxa"/>
            <w:vAlign w:val="bottom"/>
            <w:gridSpan w:val="2"/>
          </w:tcPr>
          <w:p>
            <w:pPr>
              <w:spacing w:after="0"/>
              <w:rPr>
                <w:sz w:val="20"/>
                <w:szCs w:val="20"/>
                <w:color w:val="auto"/>
              </w:rPr>
            </w:pPr>
            <w:r>
              <w:rPr>
                <w:rFonts w:ascii="Arial" w:cs="Arial" w:eastAsia="Arial" w:hAnsi="Arial"/>
                <w:sz w:val="18"/>
                <w:szCs w:val="18"/>
                <w:b w:val="1"/>
                <w:bCs w:val="1"/>
                <w:color w:val="auto"/>
              </w:rPr>
              <w:t>Total stockholders’ equity</w:t>
            </w: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22,128</w:t>
            </w:r>
          </w:p>
        </w:tc>
        <w:tc>
          <w:tcPr>
            <w:tcW w:w="82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44,722</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BUSINESS PROCESS OUTSOURCING,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(Dollars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2080" w:type="dxa"/>
            <w:vAlign w:val="bottom"/>
            <w:gridSpan w:val="7"/>
          </w:tcPr>
          <w:p>
            <w:pPr>
              <w:jc w:val="right"/>
              <w:ind w:right="200"/>
              <w:spacing w:after="0"/>
              <w:rPr>
                <w:sz w:val="20"/>
                <w:szCs w:val="20"/>
                <w:color w:val="auto"/>
              </w:rPr>
            </w:pPr>
            <w:r>
              <w:rPr>
                <w:rFonts w:ascii="Arial" w:cs="Arial" w:eastAsia="Arial" w:hAnsi="Arial"/>
                <w:sz w:val="14"/>
                <w:szCs w:val="14"/>
                <w:b w:val="1"/>
                <w:bCs w:val="1"/>
                <w:color w:val="auto"/>
                <w:w w:val="90"/>
              </w:rPr>
              <w:t>Three months ended March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Revenue</w:t>
            </w:r>
          </w:p>
        </w:tc>
        <w:tc>
          <w:tcPr>
            <w:tcW w:w="180" w:type="dxa"/>
            <w:vAlign w:val="bottom"/>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20,042</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Revenue from related parties</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1,792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40" w:type="dxa"/>
            <w:vAlign w:val="bottom"/>
            <w:gridSpan w:val="2"/>
          </w:tcPr>
          <w:p>
            <w:pPr>
              <w:spacing w:after="0"/>
              <w:rPr>
                <w:sz w:val="20"/>
                <w:szCs w:val="20"/>
                <w:color w:val="auto"/>
              </w:rPr>
            </w:pPr>
            <w:r>
              <w:rPr>
                <w:rFonts w:ascii="Arial" w:cs="Arial" w:eastAsia="Arial" w:hAnsi="Arial"/>
                <w:sz w:val="18"/>
                <w:szCs w:val="18"/>
                <w:b w:val="1"/>
                <w:bCs w:val="1"/>
                <w:color w:val="auto"/>
              </w:rPr>
              <w:t>Total revenues</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21,834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17,460</w:t>
            </w: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9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 (excluding depreciation &amp; amortization)</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13,489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9340" w:type="dxa"/>
            <w:vAlign w:val="bottom"/>
            <w:gridSpan w:val="2"/>
          </w:tcPr>
          <w:p>
            <w:pPr>
              <w:spacing w:after="0"/>
              <w:rPr>
                <w:sz w:val="20"/>
                <w:szCs w:val="20"/>
                <w:color w:val="auto"/>
              </w:rPr>
            </w:pPr>
            <w:r>
              <w:rPr>
                <w:rFonts w:ascii="Arial" w:cs="Arial" w:eastAsia="Arial" w:hAnsi="Arial"/>
                <w:sz w:val="18"/>
                <w:szCs w:val="18"/>
                <w:b w:val="1"/>
                <w:bCs w:val="1"/>
                <w:color w:val="auto"/>
              </w:rPr>
              <w:t>Gross profit</w:t>
            </w:r>
          </w:p>
        </w:tc>
        <w:tc>
          <w:tcPr>
            <w:tcW w:w="18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8,345</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6,628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5,463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9340" w:type="dxa"/>
            <w:vAlign w:val="bottom"/>
            <w:gridSpan w:val="2"/>
          </w:tcPr>
          <w:p>
            <w:pPr>
              <w:spacing w:after="0"/>
              <w:rPr>
                <w:sz w:val="20"/>
                <w:szCs w:val="20"/>
                <w:color w:val="auto"/>
              </w:rPr>
            </w:pPr>
            <w:r>
              <w:rPr>
                <w:rFonts w:ascii="Arial" w:cs="Arial" w:eastAsia="Arial" w:hAnsi="Arial"/>
                <w:sz w:val="18"/>
                <w:szCs w:val="18"/>
                <w:b w:val="1"/>
                <w:bCs w:val="1"/>
                <w:color w:val="auto"/>
              </w:rPr>
              <w:t>Total operating expenses</w:t>
            </w:r>
          </w:p>
        </w:tc>
        <w:tc>
          <w:tcPr>
            <w:tcW w:w="18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6,311</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5,844</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3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2,034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322"/>
        </w:trPr>
        <w:tc>
          <w:tcPr>
            <w:tcW w:w="934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(209)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265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Foreign exchange gain</w:t>
            </w:r>
          </w:p>
        </w:tc>
        <w:tc>
          <w:tcPr>
            <w:tcW w:w="1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3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2,144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323"/>
        </w:trPr>
        <w:tc>
          <w:tcPr>
            <w:tcW w:w="934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(138)</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3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2,006</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BUSINESS PROCESS OUTSOURCING,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(Dollars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4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89"/>
              </w:rPr>
              <w:t>Three months ended March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3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by/(used) in operating activities</w:t>
            </w:r>
          </w:p>
        </w:tc>
        <w:tc>
          <w:tcPr>
            <w:tcW w:w="180" w:type="dxa"/>
            <w:vAlign w:val="bottom"/>
            <w:gridSpan w:val="2"/>
            <w:shd w:val="clear" w:color="auto" w:fill="CCEEFF"/>
          </w:tcPr>
          <w:p>
            <w:pPr>
              <w:jc w:val="right"/>
              <w:ind w:right="42"/>
              <w:spacing w:after="0"/>
              <w:rPr>
                <w:sz w:val="20"/>
                <w:szCs w:val="20"/>
                <w:color w:val="auto"/>
              </w:rPr>
            </w:pPr>
            <w:r>
              <w:rPr>
                <w:rFonts w:ascii="Arial" w:cs="Arial" w:eastAsia="Arial" w:hAnsi="Arial"/>
                <w:sz w:val="15"/>
                <w:szCs w:val="15"/>
                <w:b w:val="1"/>
                <w:bCs w:val="1"/>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3,492</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329"/>
        </w:trPr>
        <w:tc>
          <w:tcPr>
            <w:tcW w:w="93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(527)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Security deposits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129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Sublease receipts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36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(313)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Principal payments on capital lease obligations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(568)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Short-term borrowings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
        </w:trPr>
        <w:tc>
          <w:tcPr>
            <w:tcW w:w="936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financing activities</w:t>
            </w: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36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(607)</w:t>
            </w:r>
          </w:p>
        </w:tc>
        <w:tc>
          <w:tcPr>
            <w:tcW w:w="2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9360" w:type="dxa"/>
            <w:vAlign w:val="bottom"/>
            <w:gridSpan w:val="2"/>
          </w:tcPr>
          <w:p>
            <w:pPr>
              <w:spacing w:after="0"/>
              <w:rPr>
                <w:sz w:val="20"/>
                <w:szCs w:val="20"/>
                <w:color w:val="auto"/>
              </w:rPr>
            </w:pPr>
            <w:r>
              <w:rPr>
                <w:rFonts w:ascii="Arial" w:cs="Arial" w:eastAsia="Arial" w:hAnsi="Arial"/>
                <w:sz w:val="18"/>
                <w:szCs w:val="18"/>
                <w:color w:val="auto"/>
              </w:rPr>
              <w:t>Net increase/(decrease) in cash and cash equivalents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2,661</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13,791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36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20" w:type="dxa"/>
            <w:vAlign w:val="bottom"/>
          </w:tcPr>
          <w:p>
            <w:pPr>
              <w:spacing w:after="0"/>
              <w:rPr>
                <w:sz w:val="19"/>
                <w:szCs w:val="19"/>
                <w:color w:val="auto"/>
              </w:rPr>
            </w:pPr>
          </w:p>
        </w:tc>
        <w:tc>
          <w:tcPr>
            <w:tcW w:w="160" w:type="dxa"/>
            <w:vAlign w:val="bottom"/>
          </w:tcPr>
          <w:p>
            <w:pPr>
              <w:jc w:val="right"/>
              <w:ind w:right="42"/>
              <w:spacing w:after="0"/>
              <w:rPr>
                <w:sz w:val="20"/>
                <w:szCs w:val="20"/>
                <w:color w:val="auto"/>
              </w:rPr>
            </w:pPr>
            <w:r>
              <w:rPr>
                <w:rFonts w:ascii="Arial" w:cs="Arial" w:eastAsia="Arial" w:hAnsi="Arial"/>
                <w:sz w:val="10"/>
                <w:szCs w:val="10"/>
                <w:b w:val="1"/>
                <w:bCs w:val="1"/>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16,452</w:t>
            </w:r>
          </w:p>
        </w:tc>
        <w:tc>
          <w:tcPr>
            <w:tcW w:w="200" w:type="dxa"/>
            <w:vAlign w:val="bottom"/>
          </w:tcPr>
          <w:p>
            <w:pPr>
              <w:spacing w:after="0"/>
              <w:rPr>
                <w:sz w:val="19"/>
                <w:szCs w:val="19"/>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9,102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37" w:name="page38"/>
    <w:bookmarkEnd w:id="37"/>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Business Process Outsourcing, Inc.</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March 31, 2011</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(Dollars in thousands, except per share amounts)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Description of Business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Business Process Outsourcing, Inc. (“BPO” or the “Company”) is incorporated under the laws of the Cayman Islands. BPO, together with its subsidiaries, is principally engaged in providing business process outsourcing services in the finance and accounting arena. The services are provided primarily from India, along with shared service centers in Bulgaria and Malaysia, as well as resources on-site at client locations in the U.S. The Company’s clients are located principally in the United States.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ind w:right="420" w:firstLine="456"/>
        <w:spacing w:after="0" w:line="256" w:lineRule="auto"/>
        <w:rPr>
          <w:sz w:val="20"/>
          <w:szCs w:val="20"/>
          <w:color w:val="auto"/>
        </w:rPr>
      </w:pPr>
      <w:r>
        <w:rPr>
          <w:rFonts w:ascii="Arial" w:cs="Arial" w:eastAsia="Arial" w:hAnsi="Arial"/>
          <w:sz w:val="18"/>
          <w:szCs w:val="18"/>
          <w:color w:val="auto"/>
        </w:rPr>
        <w:t>The unaudited interim consolidated financial statements have been prepared in accordance with generally accepted accounting principles for interim financial information. Accordingly, they do not include all of the information and footnotes required by generally accepted accounting principles for annual financial statements and therefore should be read in conjunction with the audited consolidated financial statements and footnotes for the fiscal year ended December 31, 2010.</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unaudited interim consolidated financial statements reflect all adjustments (of a normal and recurring nature) which management considers necessary for a fair presentation of such statements for the interim periods presented. The unaudited consolidated statements of income for the interim periods presented are not necessarily indicative of the results for the full year or for any subsequent period.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Principles of Consolidation</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accompanying unaudited consolidated financial statements include the accounts of BPO and its subsidiaries. All significant inter-company balances and transactions are eliminated in consolidation.</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Use of Estimates</w:t>
      </w:r>
    </w:p>
    <w:p>
      <w:pPr>
        <w:spacing w:after="0" w:line="96" w:lineRule="exact"/>
        <w:rPr>
          <w:sz w:val="20"/>
          <w:szCs w:val="20"/>
          <w:color w:val="auto"/>
        </w:rPr>
      </w:pPr>
    </w:p>
    <w:p>
      <w:pPr>
        <w:ind w:right="120" w:firstLine="456"/>
        <w:spacing w:after="0" w:line="314" w:lineRule="auto"/>
        <w:rPr>
          <w:sz w:val="20"/>
          <w:szCs w:val="20"/>
          <w:color w:val="auto"/>
        </w:rPr>
      </w:pPr>
      <w:r>
        <w:rPr>
          <w:rFonts w:ascii="Arial" w:cs="Arial" w:eastAsia="Arial" w:hAnsi="Arial"/>
          <w:sz w:val="15"/>
          <w:szCs w:val="15"/>
          <w:color w:val="auto"/>
        </w:rPr>
        <w:t>Preparation of the unaudited consolidated financial statements in conformity with U.S. generally accepted accounting principles requires management to make estimates and assumptions that affect the reported amounts of assets and liabilities and disclosure of contingent assets and liabilities at the date of the unaudited consolidated financial statements and the reported amounts of revenues and expenses during the reporting periods. Estimates are made based on management’s best assessment of the current business environment. Actual results could differ from these estimates and assumptions. The significant estimates and assumptions that affect the consolidated financial statements include, but are not limited to, allowance for doubtful accounts, future obligations under employee benefit plans, income tax valuation allowances, estimated useful lives of property and equipment and recoverability of long-term assets and goodwill.</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Foreign Exchange Instruments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the normal course of business, the Company occasionally uses derivative financial instruments to manage foreign currency exchange rate risk. The Company hedges material cash flow exposure using forward contracts. These instruments are short-term in nature, with maturities of less than one year, and are subject to fluctuations in foreign exchange rates. All of the Company’s financial instruments are recorded at estimated fair value or amounts that approximate fair value. The Company does not have any derivatives designated as hedges as defined by ASC No. 815, “Derivatives and Hedging.” The changes in fair value of all derivatives are recognized in the Consolidated Statements of Operations and are included in the foreign exchange (loss) gain. During the three months ended March 31, 2011 and 2010, ($81) and $81, respectively, were recognized as (losses) gains related to these derivatives. There were $0 and $1,250 of derivative instruments outstanding as of March 31, 2011 and December 31, 2010, respectively.</w:t>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Fair Value Measurements</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ASC No. 820, “Fair Value Measurements and Disclosures” (“ASC No. 820”), establishes a three-tier value hierarchy, which prioritizes the inputs used in the valuation methodologies in measuring fair value: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Level 1</w:t>
            </w:r>
          </w:p>
        </w:tc>
        <w:tc>
          <w:tcPr>
            <w:tcW w:w="7960" w:type="dxa"/>
            <w:vAlign w:val="bottom"/>
            <w:gridSpan w:val="2"/>
          </w:tcPr>
          <w:p>
            <w:pPr>
              <w:ind w:left="180"/>
              <w:spacing w:after="0"/>
              <w:rPr>
                <w:sz w:val="20"/>
                <w:szCs w:val="20"/>
                <w:color w:val="auto"/>
              </w:rPr>
            </w:pPr>
            <w:r>
              <w:rPr>
                <w:rFonts w:ascii="Arial" w:cs="Arial" w:eastAsia="Arial" w:hAnsi="Arial"/>
                <w:sz w:val="18"/>
                <w:szCs w:val="18"/>
                <w:color w:val="auto"/>
                <w:w w:val="89"/>
              </w:rPr>
              <w:t>-   Observable inputs that reflect quoted prices (unadjusted) for identical assets or liabilities in active markets.</w:t>
            </w:r>
          </w:p>
        </w:tc>
      </w:tr>
      <w:tr>
        <w:trPr>
          <w:trHeight w:val="284"/>
        </w:trPr>
        <w:tc>
          <w:tcPr>
            <w:tcW w:w="700" w:type="dxa"/>
            <w:vAlign w:val="bottom"/>
          </w:tcPr>
          <w:p>
            <w:pPr>
              <w:spacing w:after="0"/>
              <w:rPr>
                <w:sz w:val="20"/>
                <w:szCs w:val="20"/>
                <w:color w:val="auto"/>
              </w:rPr>
            </w:pPr>
            <w:r>
              <w:rPr>
                <w:rFonts w:ascii="Arial" w:cs="Arial" w:eastAsia="Arial" w:hAnsi="Arial"/>
                <w:sz w:val="18"/>
                <w:szCs w:val="18"/>
                <w:color w:val="auto"/>
              </w:rPr>
              <w:t>Level 2</w:t>
            </w:r>
          </w:p>
        </w:tc>
        <w:tc>
          <w:tcPr>
            <w:tcW w:w="340" w:type="dxa"/>
            <w:vAlign w:val="bottom"/>
          </w:tcPr>
          <w:p>
            <w:pPr>
              <w:ind w:left="180"/>
              <w:spacing w:after="0"/>
              <w:rPr>
                <w:sz w:val="20"/>
                <w:szCs w:val="20"/>
                <w:color w:val="auto"/>
              </w:rPr>
            </w:pPr>
            <w:r>
              <w:rPr>
                <w:rFonts w:ascii="Arial" w:cs="Arial" w:eastAsia="Arial" w:hAnsi="Arial"/>
                <w:sz w:val="18"/>
                <w:szCs w:val="18"/>
                <w:color w:val="auto"/>
              </w:rPr>
              <w:t>-</w:t>
            </w:r>
          </w:p>
        </w:tc>
        <w:tc>
          <w:tcPr>
            <w:tcW w:w="7620" w:type="dxa"/>
            <w:vAlign w:val="bottom"/>
          </w:tcPr>
          <w:p>
            <w:pPr>
              <w:ind w:left="120"/>
              <w:spacing w:after="0"/>
              <w:rPr>
                <w:sz w:val="20"/>
                <w:szCs w:val="20"/>
                <w:color w:val="auto"/>
              </w:rPr>
            </w:pPr>
            <w:r>
              <w:rPr>
                <w:rFonts w:ascii="Arial" w:cs="Arial" w:eastAsia="Arial" w:hAnsi="Arial"/>
                <w:sz w:val="18"/>
                <w:szCs w:val="18"/>
                <w:color w:val="auto"/>
              </w:rPr>
              <w:t>Includes other inputs that are directly or indirectly observable in the marketplace.</w:t>
            </w:r>
          </w:p>
        </w:tc>
      </w:tr>
      <w:tr>
        <w:trPr>
          <w:trHeight w:val="284"/>
        </w:trPr>
        <w:tc>
          <w:tcPr>
            <w:tcW w:w="700" w:type="dxa"/>
            <w:vAlign w:val="bottom"/>
          </w:tcPr>
          <w:p>
            <w:pPr>
              <w:spacing w:after="0"/>
              <w:rPr>
                <w:sz w:val="20"/>
                <w:szCs w:val="20"/>
                <w:color w:val="auto"/>
              </w:rPr>
            </w:pPr>
            <w:r>
              <w:rPr>
                <w:rFonts w:ascii="Arial" w:cs="Arial" w:eastAsia="Arial" w:hAnsi="Arial"/>
                <w:sz w:val="18"/>
                <w:szCs w:val="18"/>
                <w:color w:val="auto"/>
              </w:rPr>
              <w:t>Level 3</w:t>
            </w:r>
          </w:p>
        </w:tc>
        <w:tc>
          <w:tcPr>
            <w:tcW w:w="340" w:type="dxa"/>
            <w:vAlign w:val="bottom"/>
          </w:tcPr>
          <w:p>
            <w:pPr>
              <w:ind w:left="180"/>
              <w:spacing w:after="0"/>
              <w:rPr>
                <w:sz w:val="20"/>
                <w:szCs w:val="20"/>
                <w:color w:val="auto"/>
              </w:rPr>
            </w:pPr>
            <w:r>
              <w:rPr>
                <w:rFonts w:ascii="Arial" w:cs="Arial" w:eastAsia="Arial" w:hAnsi="Arial"/>
                <w:sz w:val="18"/>
                <w:szCs w:val="18"/>
                <w:color w:val="auto"/>
              </w:rPr>
              <w:t>-</w:t>
            </w:r>
          </w:p>
        </w:tc>
        <w:tc>
          <w:tcPr>
            <w:tcW w:w="7620" w:type="dxa"/>
            <w:vAlign w:val="bottom"/>
          </w:tcPr>
          <w:p>
            <w:pPr>
              <w:ind w:left="120"/>
              <w:spacing w:after="0"/>
              <w:rPr>
                <w:sz w:val="20"/>
                <w:szCs w:val="20"/>
                <w:color w:val="auto"/>
              </w:rPr>
            </w:pPr>
            <w:r>
              <w:rPr>
                <w:rFonts w:ascii="Arial" w:cs="Arial" w:eastAsia="Arial" w:hAnsi="Arial"/>
                <w:sz w:val="18"/>
                <w:szCs w:val="18"/>
                <w:color w:val="auto"/>
              </w:rPr>
              <w:t>Unobservable inputs which are supported by little or no market activity.</w:t>
            </w:r>
          </w:p>
        </w:tc>
      </w:tr>
    </w:tbl>
    <w:p>
      <w:pPr>
        <w:sectPr>
          <w:pgSz w:w="11900" w:h="16838" w:orient="portrait"/>
          <w:cols w:equalWidth="0" w:num="1">
            <w:col w:w="11360"/>
          </w:cols>
          <w:pgMar w:left="240" w:top="280" w:right="299" w:bottom="1440" w:gutter="0" w:footer="0" w:header="0"/>
        </w:sectPr>
      </w:pPr>
    </w:p>
    <w:bookmarkStart w:id="38" w:name="page39"/>
    <w:bookmarkEnd w:id="38"/>
    <w:p>
      <w:pPr>
        <w:ind w:firstLine="456"/>
        <w:spacing w:after="0" w:line="255" w:lineRule="auto"/>
        <w:rPr>
          <w:sz w:val="20"/>
          <w:szCs w:val="20"/>
          <w:color w:val="auto"/>
        </w:rPr>
      </w:pPr>
      <w:r>
        <w:rPr>
          <w:rFonts w:ascii="Arial" w:cs="Arial" w:eastAsia="Arial" w:hAnsi="Arial"/>
          <w:sz w:val="18"/>
          <w:szCs w:val="18"/>
          <w:color w:val="auto"/>
        </w:rPr>
        <w:t>The fair value hierarchy also requires an entity to maximize the use of observable inputs and minimize the use of unobservable inputs when measuring fair value. In accordance with ASC No. 820, the Company measures foreign currency forward contracts at fair value. The foreign currency forward contracts are classified within Level 2 as the valuation inputs are based on quoted prices and market observable data of similar instruments in active markets, and are recorded in other current assets in the Consolidated Balance Sheets. As at March 31, 2011 and December 31, 2010 the amount recorded in other current assets was $0 and $82, respectively.</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40"/>
          </w:cols>
          <w:pgMar w:left="240" w:top="131" w:right="319" w:bottom="1440" w:gutter="0" w:footer="0" w:header="0"/>
        </w:sectPr>
      </w:pPr>
    </w:p>
    <w:bookmarkStart w:id="39" w:name="page40"/>
    <w:bookmarkEnd w:id="39"/>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Business Process Outsourcing, Inc.</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March 31, 2011</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(Dollars in thousands, except per share amounts)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October 2009, the Financial Accounting Standards Board (“FASB”) issued Update No. 2009-13, “Multiple-Deliverable Revenue Arrangements - a consensus of the FASB Emerging Issues Task Force” (“ASU 2009-13”). It updates the existing multiple-element revenue arrangements guidance currently included under ASC No. 605-25, which originated primarily from the guidance in EITF Issue No. 00-21, “Revenue Arrangements with Multiple Deliverables”. The revised guidance primarily provides two significant changes: 1) eliminates the need for objective and reliable evidence of the fair value for the undelivered element in order for a delivered item to be treated as a separate unit of accounting, and 2) eliminates the residual method to allocate the arrangement consideration. In addition, the guidance also expands the disclosure requirements for revenue recognition. ASU 2009-13 will be effective for the first annual reporting period beginning on or after June 15, 2010, with early adoption permitted provided that the revised guidance is retroactively applied to the beginning of the year of adoption. The adoption of new guidance from January 1, 2011 did not have any impact on the Company’s unaudited consolidated financial statements as the number of multiple deliverable revenue arrangements is insignificant.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 and Goodwill</w:t>
      </w:r>
    </w:p>
    <w:p>
      <w:pPr>
        <w:spacing w:after="0" w:line="96"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In 2002, the Company acquired the business process outsourcing practice of a large public accounting firm. In connection with the acquisition, the Company recorded goodwill for the amount of purchase price paid in excess of the value of the underlying assets. In addition, the Company capitalized as goodwill additional payments made as part of the contingent consideration subsequent to the acquisition date. Contingent consideration payments ceased on February 1, 2007.</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Commitments and Contingencies</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Transfer-pricing regulations require that any international transaction involving associated enterprises be at an arm’s-length price. Transactions among the Company’s subsidiaries and the Company may be considered such transactions. Accordingly, the Company determines the pricing among its associated enterprises on the basis of detailed functional and economic analysis involving benchmarking against transactions among entities that are not under common control. If the applicable income tax authorities review any of the Company’s tax returns and determine that the transfer price applied was not appropriate, the Company may incur increased tax liability, including accrued interest and penalties.</w:t>
      </w:r>
    </w:p>
    <w:p>
      <w:pPr>
        <w:spacing w:after="0" w:line="116"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A subsidiary of the Company received an assessment order from the Indian tax authorities with respect to their transfer pricing arrangements. The assessment demands that the subsidiary pay additional taxes in the amount of approximately $217. The subsidiary has applied for a stay of demand with tax authorities while it appeals to the Deputy Commissioner of Income Tax. While under appeal, the Company is required to pay the assessed amount, this amount was deposited with the tax authorities.</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280" w:right="29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Business Process Outsourcing, Inc.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March 31, 2011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(Dollars in thousands, except per share amounts)</w:t>
      </w:r>
    </w:p>
    <w:p>
      <w:pPr>
        <w:spacing w:after="0" w:line="15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Based on advice from its Indian tax advisors, the facts underlying its position and its experience with these types of assessments, the Company believes that the probability of loss is remote and has accordingly not accrued any amount with respect to these matters in its consolidated financial statements. There is a possibility that the Company might receive similar orders for subsequent years until the dispute is resolved. The Company does not expect any impact from these assessments on its future income tax expense.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 and Lease Commitments</w:t>
      </w:r>
    </w:p>
    <w:p>
      <w:pPr>
        <w:spacing w:after="0" w:line="96"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The Company finances its use of certain facilities, computer hardware, leasehold improvements, furniture, fixtures, and office equipment under various lease arrangements provided by financial institutions. The future minimum lease payments, by year and in the aggregate, under capital leases and under non-cancelable operating leases with initial or remaining non-cancelable lease terms in excess of one year, consisted of the following at March 31, 2011:</w:t>
      </w:r>
    </w:p>
    <w:p>
      <w:pPr>
        <w:spacing w:after="0" w:line="1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87"/>
              </w:rPr>
              <w:t>Non-cancelable Operating</w:t>
            </w:r>
          </w:p>
        </w:tc>
        <w:tc>
          <w:tcPr>
            <w:tcW w:w="0" w:type="dxa"/>
            <w:vAlign w:val="bottom"/>
          </w:tcPr>
          <w:p>
            <w:pPr>
              <w:spacing w:after="0"/>
              <w:rPr>
                <w:sz w:val="1"/>
                <w:szCs w:val="1"/>
                <w:color w:val="auto"/>
              </w:rPr>
            </w:pPr>
          </w:p>
        </w:tc>
      </w:tr>
      <w:tr>
        <w:trPr>
          <w:trHeight w:val="161"/>
        </w:trPr>
        <w:tc>
          <w:tcPr>
            <w:tcW w:w="646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Capital</w:t>
            </w:r>
          </w:p>
        </w:tc>
        <w:tc>
          <w:tcPr>
            <w:tcW w:w="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79"/>
              </w:rPr>
              <w:t>Leases</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4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4"/>
                <w:szCs w:val="14"/>
                <w:b w:val="1"/>
                <w:bCs w:val="1"/>
                <w:color w:val="auto"/>
                <w:w w:val="91"/>
              </w:rPr>
              <w:t>Sublease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4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8"/>
              </w:rPr>
              <w:t>Leases</w:t>
            </w:r>
          </w:p>
        </w:tc>
        <w:tc>
          <w:tcPr>
            <w:tcW w:w="600" w:type="dxa"/>
            <w:vAlign w:val="bottom"/>
          </w:tcPr>
          <w:p>
            <w:pPr>
              <w:spacing w:after="0"/>
              <w:rPr>
                <w:sz w:val="14"/>
                <w:szCs w:val="14"/>
                <w:color w:val="auto"/>
              </w:rPr>
            </w:pPr>
          </w:p>
        </w:tc>
        <w:tc>
          <w:tcPr>
            <w:tcW w:w="700" w:type="dxa"/>
            <w:vAlign w:val="bottom"/>
            <w:gridSpan w:val="3"/>
          </w:tcPr>
          <w:p>
            <w:pPr>
              <w:ind w:left="80"/>
              <w:spacing w:after="0"/>
              <w:rPr>
                <w:sz w:val="20"/>
                <w:szCs w:val="20"/>
                <w:color w:val="auto"/>
              </w:rPr>
            </w:pPr>
            <w:r>
              <w:rPr>
                <w:rFonts w:ascii="Arial" w:cs="Arial" w:eastAsia="Arial" w:hAnsi="Arial"/>
                <w:sz w:val="14"/>
                <w:szCs w:val="14"/>
                <w:b w:val="1"/>
                <w:bCs w:val="1"/>
                <w:color w:val="auto"/>
              </w:rPr>
              <w:t>Expense</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96"/>
        </w:trPr>
        <w:tc>
          <w:tcPr>
            <w:tcW w:w="6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Year ending March 31,</w:t>
            </w:r>
          </w:p>
        </w:tc>
        <w:tc>
          <w:tcPr>
            <w:tcW w:w="5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2012</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$2,932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6,145</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ind w:left="320"/>
              <w:spacing w:after="0"/>
              <w:rPr>
                <w:sz w:val="20"/>
                <w:szCs w:val="20"/>
                <w:color w:val="auto"/>
              </w:rPr>
            </w:pPr>
            <w:r>
              <w:rPr>
                <w:rFonts w:ascii="Arial" w:cs="Arial" w:eastAsia="Arial" w:hAnsi="Arial"/>
                <w:sz w:val="18"/>
                <w:szCs w:val="18"/>
                <w:color w:val="auto"/>
                <w:w w:val="79"/>
              </w:rPr>
              <w:t>319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5,062</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2014</w:t>
            </w:r>
          </w:p>
        </w:tc>
        <w:tc>
          <w:tcPr>
            <w:tcW w:w="500" w:type="dxa"/>
            <w:vAlign w:val="bottom"/>
          </w:tcPr>
          <w:p>
            <w:pPr>
              <w:jc w:val="right"/>
              <w:spacing w:after="0"/>
              <w:rPr>
                <w:sz w:val="20"/>
                <w:szCs w:val="20"/>
                <w:color w:val="auto"/>
              </w:rPr>
            </w:pPr>
            <w:r>
              <w:rPr>
                <w:rFonts w:ascii="Arial" w:cs="Arial" w:eastAsia="Arial" w:hAnsi="Arial"/>
                <w:sz w:val="18"/>
                <w:szCs w:val="18"/>
                <w:color w:val="auto"/>
              </w:rPr>
              <w:t>1,932</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5,087</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5,350</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2016</w:t>
            </w:r>
          </w:p>
        </w:tc>
        <w:tc>
          <w:tcPr>
            <w:tcW w:w="500" w:type="dxa"/>
            <w:vAlign w:val="bottom"/>
          </w:tcPr>
          <w:p>
            <w:pPr>
              <w:jc w:val="right"/>
              <w:spacing w:after="0"/>
              <w:rPr>
                <w:sz w:val="20"/>
                <w:szCs w:val="20"/>
                <w:color w:val="auto"/>
              </w:rPr>
            </w:pPr>
            <w:r>
              <w:rPr>
                <w:rFonts w:ascii="Arial" w:cs="Arial" w:eastAsia="Arial" w:hAnsi="Arial"/>
                <w:sz w:val="18"/>
                <w:szCs w:val="18"/>
                <w:color w:val="auto"/>
              </w:rPr>
              <w:t>1,175</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4,712</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Beyond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583</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460" w:type="dxa"/>
            <w:vAlign w:val="bottom"/>
          </w:tcPr>
          <w:p>
            <w:pPr>
              <w:spacing w:after="0"/>
              <w:rPr>
                <w:sz w:val="20"/>
                <w:szCs w:val="20"/>
                <w:color w:val="auto"/>
              </w:rPr>
            </w:pPr>
            <w:r>
              <w:rPr>
                <w:rFonts w:ascii="Arial" w:cs="Arial" w:eastAsia="Arial" w:hAnsi="Arial"/>
                <w:sz w:val="18"/>
                <w:szCs w:val="18"/>
                <w:color w:val="auto"/>
              </w:rPr>
              <w:t>Total minimum payments</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9,825</w:t>
            </w:r>
          </w:p>
        </w:tc>
        <w:tc>
          <w:tcPr>
            <w:tcW w:w="6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Less amount representing interest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60" w:type="dxa"/>
            <w:vAlign w:val="bottom"/>
          </w:tcPr>
          <w:p>
            <w:pPr>
              <w:spacing w:after="0"/>
              <w:rPr>
                <w:sz w:val="20"/>
                <w:szCs w:val="20"/>
                <w:color w:val="auto"/>
              </w:rPr>
            </w:pPr>
            <w:r>
              <w:rPr>
                <w:rFonts w:ascii="Arial" w:cs="Arial" w:eastAsia="Arial" w:hAnsi="Arial"/>
                <w:sz w:val="18"/>
                <w:szCs w:val="18"/>
                <w:color w:val="auto"/>
              </w:rPr>
              <w:t>Present value of minimum lease payments</w:t>
            </w:r>
          </w:p>
        </w:tc>
        <w:tc>
          <w:tcPr>
            <w:tcW w:w="500" w:type="dxa"/>
            <w:vAlign w:val="bottom"/>
          </w:tcPr>
          <w:p>
            <w:pPr>
              <w:jc w:val="right"/>
              <w:spacing w:after="0"/>
              <w:rPr>
                <w:sz w:val="20"/>
                <w:szCs w:val="20"/>
                <w:color w:val="auto"/>
              </w:rPr>
            </w:pPr>
            <w:r>
              <w:rPr>
                <w:rFonts w:ascii="Arial" w:cs="Arial" w:eastAsia="Arial" w:hAnsi="Arial"/>
                <w:sz w:val="18"/>
                <w:szCs w:val="18"/>
                <w:color w:val="auto"/>
              </w:rPr>
              <w:t>8,069</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2,237</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60" w:type="dxa"/>
            <w:vAlign w:val="bottom"/>
          </w:tcPr>
          <w:p>
            <w:pPr>
              <w:spacing w:after="0"/>
              <w:rPr>
                <w:sz w:val="20"/>
                <w:szCs w:val="20"/>
                <w:color w:val="auto"/>
              </w:rPr>
            </w:pPr>
            <w:r>
              <w:rPr>
                <w:rFonts w:ascii="Arial" w:cs="Arial" w:eastAsia="Arial" w:hAnsi="Arial"/>
                <w:sz w:val="18"/>
                <w:szCs w:val="18"/>
                <w:color w:val="auto"/>
              </w:rPr>
              <w:t>Long-term capital lease obligations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5,832</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Rental expense under operating leases was approximately $1,692 and $1,731 for the three months ended March 31, 2011 and 2010, respectively. Sublease income of $265 and $327 for the three months ended March 31, 2011 and 2010, respectively, is included in other income.</w:t>
      </w:r>
    </w:p>
    <w:p>
      <w:pPr>
        <w:spacing w:after="0" w:line="85"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The Company has sub-leased property and equipment under capital leases and recognized as a receivable an amount equal to the net investment in the sub-lease. Lease rentals are apportioned between principal and interest at the rate implicit to the lease. The principal amount received reduces the net investment in lease, which is recorded in other assets in the unaudited consolidated balance sheets and the interest is recognized as other income. Initial direct costs such as legal and brokerage costs, are recognized immediately in the statements of operations. As of March 31, 2011, the Company has outstanding receivables of $151.</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0" w:right="23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Business Process Outsourcing, Inc.</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March 31, 2011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(Dollars in thousands, except per share amounts)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recorded income tax expense of $138 and $70 for the three months ended March 30, 2011 and 2010, respectively.</w:t>
      </w:r>
    </w:p>
    <w:p>
      <w:pPr>
        <w:spacing w:after="0" w:line="171"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Under the Indian Income Tax Act, a substantial portion of the profits of the Company's Indian operations is exempt from Indian income tax. The Indian tax year ends on March 31. This holiday is available for a period of ten consecutive years beginning in the year in which the respective Indian undertaking commenced operations but in no case extending beyond March 31, 2011, as extended by the Indian Government on August 19, 2009.</w:t>
      </w:r>
    </w:p>
    <w:p>
      <w:pPr>
        <w:spacing w:after="0" w:line="107"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During 2007, the Company commenced operations in a new subsidiary in India. Profit of the subsidiary is tax exempt because its profit is attributable to undertakings situated in Special Economic Zones. This exemption is available for a period of 15 consecutive years, wherein the profits would be taxed at graduated higher rates after completion of initial 5 years under the tax scheme and upon fulfillment of the conditions specified in the law governing the exemption.</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has foreign net operating loss carry forwards of $827 to offset future foreign taxable income, and can be carried forward for a period of 8 years. U.S. Federal net operating loss carry forwards of $27,211 may be used to offset future taxable income and will begin to expire in 2022. Pursuant to changes in the Indian Income Tax Act from April 1, 2007, the Company has calculated its tax liability after considering the Minimum Alternate Tax (“MAT”). The MAT can be carried forward and set off against future tax liabilities and will begin to expire in 2013. Based on the business projections made by the management, the Company expects to set off the MAT with it future tax liabilities.</w:t>
      </w:r>
    </w:p>
    <w:p>
      <w:pPr>
        <w:spacing w:after="0" w:line="116"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In assessing the realization of deferred tax assets, management considers whether it is more likely than not that some or all of the deferred tax assets will not be realized. The ultimate realization of deferred tax assets depends on the generation of future taxable income during the periods in which those temporary differences are deductible. Management considers the scheduled reversal of deferred tax liabilities, projected taxable income, and tax planning strategies in making this assessment. In order to fully realize the deferred tax asset, the Company will need to generate future taxable income prior to the expiration of the deferred tax asset governed by the tax code. Management believes that under the current circumstances, it is more likely than not that the Company will not realize the benefits of these deductible differences, net of the existing valuation allowance at March 31, 2011.</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80" w:right="25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Business Process Outsourcing, Inc.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March 31, 2011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(Dollars in thousands, except per share amounts)</w:t>
      </w:r>
    </w:p>
    <w:p>
      <w:pPr>
        <w:spacing w:after="0" w:line="151"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Company did not have any unrecognized tax benefits as a result of the adoption of ASC No. 740, “Income Taxes”. Moreover, during the period, the Company neither had any unrecognized tax benefits nor recognized any uncertain tax benefits. The Company did not recognize any interest or penalties in the Company’s Consolidated Statement of Operations nor did it have any such amounts recognized on the Company’s Consolidated Balance Sheets. In addition, the Company did not have any uncertain tax positions that were expected to significantly change within 12 months of the reporting date.</w:t>
      </w:r>
    </w:p>
    <w:p>
      <w:pPr>
        <w:spacing w:after="0" w:line="188" w:lineRule="exact"/>
        <w:rPr>
          <w:sz w:val="20"/>
          <w:szCs w:val="20"/>
          <w:color w:val="auto"/>
        </w:rPr>
      </w:pPr>
    </w:p>
    <w:p>
      <w:pPr>
        <w:ind w:right="7740" w:firstLine="8"/>
        <w:spacing w:after="0" w:line="347" w:lineRule="auto"/>
        <w:tabs>
          <w:tab w:leader="none" w:pos="176"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and Other Employee Benefit Plans Defined Benefit Plan</w:t>
      </w:r>
    </w:p>
    <w:p>
      <w:pPr>
        <w:spacing w:after="0" w:line="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India, the Company maintains and administers a non-contributory defined benefit retirement and termination of employment plan (“Gratuity Plan”) as required by local regulations. The plan provides for a lump sum payment to vested employees at the time of retirement or termination. Benefits under this plan are based on years of service and compensation of the employee.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uses a December 31 measurement date for the Gratuity Plan. The components of the Gratuity Plan cost were as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20" w:type="dxa"/>
            <w:vAlign w:val="bottom"/>
            <w:gridSpan w:val="4"/>
          </w:tcPr>
          <w:p>
            <w:pPr>
              <w:jc w:val="right"/>
              <w:ind w:right="83"/>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606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4"/>
                <w:szCs w:val="14"/>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60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Service cost</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88"/>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3"/>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34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11</w:t>
            </w: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Actuarial (gain) loss</w:t>
            </w:r>
          </w:p>
        </w:tc>
        <w:tc>
          <w:tcPr>
            <w:tcW w:w="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46</w:t>
            </w:r>
          </w:p>
        </w:tc>
        <w:tc>
          <w:tcPr>
            <w:tcW w:w="100" w:type="dxa"/>
            <w:vAlign w:val="bottom"/>
            <w:shd w:val="clear" w:color="auto" w:fill="CCEEFF"/>
          </w:tcPr>
          <w:p>
            <w:pPr>
              <w:spacing w:after="0"/>
              <w:rPr>
                <w:sz w:val="18"/>
                <w:szCs w:val="18"/>
                <w:color w:val="auto"/>
              </w:rPr>
            </w:pPr>
          </w:p>
        </w:tc>
      </w:tr>
      <w:tr>
        <w:trPr>
          <w:trHeight w:val="222"/>
        </w:trPr>
        <w:tc>
          <w:tcPr>
            <w:tcW w:w="6060" w:type="dxa"/>
            <w:vAlign w:val="bottom"/>
          </w:tcPr>
          <w:p>
            <w:pPr>
              <w:spacing w:after="0"/>
              <w:rPr>
                <w:sz w:val="20"/>
                <w:szCs w:val="20"/>
                <w:color w:val="auto"/>
              </w:rPr>
            </w:pPr>
            <w:r>
              <w:rPr>
                <w:rFonts w:ascii="Arial" w:cs="Arial" w:eastAsia="Arial" w:hAnsi="Arial"/>
                <w:sz w:val="18"/>
                <w:szCs w:val="18"/>
                <w:color w:val="auto"/>
              </w:rPr>
              <w:t>Total Gratuity Plan cost</w:t>
            </w:r>
          </w:p>
        </w:tc>
        <w:tc>
          <w:tcPr>
            <w:tcW w:w="560" w:type="dxa"/>
            <w:vAlign w:val="bottom"/>
            <w:gridSpan w:val="2"/>
          </w:tcPr>
          <w:p>
            <w:pPr>
              <w:jc w:val="right"/>
              <w:ind w:right="388"/>
              <w:spacing w:after="0"/>
              <w:rPr>
                <w:sz w:val="20"/>
                <w:szCs w:val="20"/>
                <w:color w:val="auto"/>
              </w:rPr>
            </w:pPr>
            <w:r>
              <w:rPr>
                <w:rFonts w:ascii="Arial" w:cs="Arial" w:eastAsia="Arial" w:hAnsi="Arial"/>
                <w:sz w:val="18"/>
                <w:szCs w:val="18"/>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109</w:t>
            </w:r>
          </w:p>
        </w:tc>
        <w:tc>
          <w:tcPr>
            <w:tcW w:w="1500" w:type="dxa"/>
            <w:vAlign w:val="bottom"/>
            <w:gridSpan w:val="2"/>
          </w:tcPr>
          <w:p>
            <w:pPr>
              <w:jc w:val="right"/>
              <w:ind w:right="303"/>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91</w:t>
            </w:r>
          </w:p>
        </w:tc>
        <w:tc>
          <w:tcPr>
            <w:tcW w:w="100" w:type="dxa"/>
            <w:vAlign w:val="bottom"/>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Plan</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has established the OPI 401(k) Retirement Plan, a qualified defined contribution retirement plan. In 2010, the plan allowed eligible employees to contribute between 1% and the maximum tax deductible limit of their eligible compensation. The Company provides matching contributions up to a certain percentage of the employee’s eligible compensation. Contribution to the plan was $71 and $96 during the three months ended March 31, 2011 and 2010, respectively.</w:t>
      </w:r>
    </w:p>
    <w:p>
      <w:pPr>
        <w:spacing w:after="0" w:line="14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Company contributes to the Government Provident Fund (a defined contribution plan) on behalf of its employees in India, in accordance with Indian law. The assets held by the Government Provident Fund are not reported on the Company’s balance sheet. The contribution made to the fund was $233 and $195 during the three months ended March 31, 2011 and 2010, respectively.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80" w:right="259" w:bottom="1440" w:gutter="0" w:footer="0" w:header="0"/>
        </w:sectPr>
      </w:pPr>
    </w:p>
    <w:bookmarkStart w:id="43" w:name="page44"/>
    <w:bookmarkEnd w:id="43"/>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Business Process Outsourcing, Inc.</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March 31, 2011</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(Dollars in thousands, except per share amounts)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Related Party Transactions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During the three months ended March 31, 2011 and 2010, the Company recorded revenues of $1,627 and $1,322, respectively, related to services provided in the ordinary course of business to Cargill, Incorporated (“Cargill”), a stockholder of the Company. As of March 31, 2011 and December 31, 2010, the Company had accounts receivable of $847 and $824, respectively and no unbilled revenues.</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During the three months ended March 31, 2011 and 2010, the Company recorded revenues of $165 and $200, respectively, related to services provided in the ordinary course of business to Open Business Exchange Limited, an affiliate of Cargill. As of March 31, 2011 and December 31, 2010, the Company had accounts receivable of $118 and $127, respectively and no unbilled revenues.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Geographical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property and equipment by country was as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3580" w:type="dxa"/>
            <w:vAlign w:val="bottom"/>
            <w:gridSpan w:val="3"/>
          </w:tcPr>
          <w:p>
            <w:pPr>
              <w:ind w:left="2980"/>
              <w:spacing w:after="0"/>
              <w:rPr>
                <w:sz w:val="20"/>
                <w:szCs w:val="20"/>
                <w:color w:val="auto"/>
              </w:rPr>
            </w:pPr>
            <w:r>
              <w:rPr>
                <w:rFonts w:ascii="Arial" w:cs="Arial" w:eastAsia="Arial" w:hAnsi="Arial"/>
                <w:sz w:val="14"/>
                <w:szCs w:val="14"/>
                <w:b w:val="1"/>
                <w:bCs w:val="1"/>
                <w:color w:val="auto"/>
                <w:w w:val="89"/>
              </w:rPr>
              <w:t>March 31,</w:t>
            </w:r>
          </w:p>
        </w:tc>
        <w:tc>
          <w:tcPr>
            <w:tcW w:w="1540" w:type="dxa"/>
            <w:vAlign w:val="bottom"/>
            <w:gridSpan w:val="4"/>
          </w:tcPr>
          <w:p>
            <w:pPr>
              <w:ind w:left="64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3560" w:type="dxa"/>
            <w:vAlign w:val="bottom"/>
            <w:tcBorders>
              <w:bottom w:val="single" w:sz="8" w:color="CCEEFF"/>
            </w:tcBorders>
          </w:tcPr>
          <w:p>
            <w:pPr>
              <w:spacing w:after="0"/>
              <w:rPr>
                <w:sz w:val="14"/>
                <w:szCs w:val="14"/>
                <w:color w:val="auto"/>
              </w:rPr>
            </w:pPr>
          </w:p>
        </w:tc>
        <w:tc>
          <w:tcPr>
            <w:tcW w:w="29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89"/>
              </w:rPr>
              <w:t>2011</w:t>
            </w:r>
          </w:p>
        </w:tc>
        <w:tc>
          <w:tcPr>
            <w:tcW w:w="6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210"/>
        </w:trPr>
        <w:tc>
          <w:tcPr>
            <w:tcW w:w="3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India</w:t>
            </w: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9,037</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9,576</w:t>
            </w:r>
          </w:p>
        </w:tc>
        <w:tc>
          <w:tcPr>
            <w:tcW w:w="100" w:type="dxa"/>
            <w:vAlign w:val="bottom"/>
            <w:shd w:val="clear" w:color="auto" w:fill="CCEEFF"/>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U.S.</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313</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Bulgaria</w:t>
            </w: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8"/>
                <w:szCs w:val="18"/>
                <w:color w:val="auto"/>
              </w:rPr>
            </w:pPr>
          </w:p>
        </w:tc>
      </w:tr>
      <w:tr>
        <w:trPr>
          <w:trHeight w:val="223"/>
        </w:trPr>
        <w:tc>
          <w:tcPr>
            <w:tcW w:w="3560" w:type="dxa"/>
            <w:vAlign w:val="bottom"/>
          </w:tcPr>
          <w:p>
            <w:pPr>
              <w:spacing w:after="0"/>
              <w:rPr>
                <w:sz w:val="20"/>
                <w:szCs w:val="20"/>
                <w:color w:val="auto"/>
              </w:rPr>
            </w:pPr>
            <w:r>
              <w:rPr>
                <w:rFonts w:ascii="Arial" w:cs="Arial" w:eastAsia="Arial" w:hAnsi="Arial"/>
                <w:sz w:val="18"/>
                <w:szCs w:val="18"/>
                <w:color w:val="auto"/>
              </w:rPr>
              <w:t>Others</w:t>
            </w:r>
          </w:p>
        </w:tc>
        <w:tc>
          <w:tcPr>
            <w:tcW w:w="29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r>
      <w:tr>
        <w:trPr>
          <w:trHeight w:val="216"/>
        </w:trPr>
        <w:tc>
          <w:tcPr>
            <w:tcW w:w="356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ind w:left="2980"/>
              <w:spacing w:after="0"/>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9,753</w:t>
            </w: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10,074</w:t>
            </w:r>
          </w:p>
        </w:tc>
        <w:tc>
          <w:tcPr>
            <w:tcW w:w="100" w:type="dxa"/>
            <w:vAlign w:val="bottom"/>
            <w:shd w:val="clear" w:color="auto" w:fill="CCEEFF"/>
          </w:tcPr>
          <w:p>
            <w:pPr>
              <w:spacing w:after="0"/>
              <w:rPr>
                <w:sz w:val="18"/>
                <w:szCs w:val="18"/>
                <w:color w:val="auto"/>
              </w:rPr>
            </w:pPr>
          </w:p>
        </w:tc>
      </w:tr>
      <w:tr>
        <w:trPr>
          <w:trHeight w:val="20"/>
        </w:trPr>
        <w:tc>
          <w:tcPr>
            <w:tcW w:w="35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Comprehensive Income/(loss)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ASC topic 220, “Reporting Comprehensive Income”, establishes rules for the reporting of comprehensive income and its components. Comprehensive income is defined as all changes in equity from non-owner sources. For the Company, comprehensive income/(loss) consists of changes in the cumulative foreign currency translation adjustments. Changes in other comprehensive income/(loss) was $94 and $259 during the three months ended March 31, 2011 and 2010, respectively.</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280" w:right="299" w:bottom="1440" w:gutter="0" w:footer="0" w:header="0"/>
        </w:sectPr>
      </w:pPr>
    </w:p>
    <w:bookmarkStart w:id="44" w:name="page45"/>
    <w:bookmarkEnd w:id="44"/>
    <w:p>
      <w:pPr>
        <w:jc w:val="center"/>
        <w:ind w:right="-1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Business Process Outsourcing, Inc.</w:t>
      </w:r>
    </w:p>
    <w:p>
      <w:pPr>
        <w:spacing w:after="0" w:line="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March 31, 2011</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i w:val="1"/>
          <w:iCs w:val="1"/>
          <w:color w:val="auto"/>
        </w:rPr>
        <w:t>(Dollars in thousands, except per share amounts)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April 30, 2011, the Company along with Shareholder Representative Services LLC, a Colorado limited liability company entered into a definitive Merger Agreement with ExlService Holdings, Inc. (“EXL”) and F&amp;A BPO Merger Sub, Inc., (“Merger Sub”) a Delaware Corporation and a wholly owned subsidiary of EXL. Under the terms of the Merger Agreement and subject to the conditions set forth therein, Merger Sub will merge with and into the Company and the Company will survive and become a wholly owned subsidiary of EXL.</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May 31, 2011, the transaction was closed and the Company became a wholly owned subsidiary of EXL.</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240" w:top="280" w:right="41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28"/>
        </w:trPr>
        <w:tc>
          <w:tcPr>
            <w:tcW w:w="9240" w:type="dxa"/>
            <w:vAlign w:val="bottom"/>
          </w:tcPr>
          <w:p>
            <w:pPr>
              <w:spacing w:after="0"/>
              <w:rPr>
                <w:sz w:val="19"/>
                <w:szCs w:val="19"/>
                <w:color w:val="auto"/>
              </w:rPr>
            </w:pPr>
          </w:p>
        </w:tc>
        <w:tc>
          <w:tcPr>
            <w:tcW w:w="2180" w:type="dxa"/>
            <w:vAlign w:val="bottom"/>
            <w:gridSpan w:val="3"/>
          </w:tcPr>
          <w:p>
            <w:pPr>
              <w:jc w:val="right"/>
              <w:spacing w:after="0"/>
              <w:rPr>
                <w:sz w:val="20"/>
                <w:szCs w:val="20"/>
                <w:color w:val="auto"/>
              </w:rPr>
            </w:pPr>
            <w:r>
              <w:rPr>
                <w:rFonts w:ascii="Arial" w:cs="Arial" w:eastAsia="Arial" w:hAnsi="Arial"/>
                <w:sz w:val="18"/>
                <w:szCs w:val="18"/>
                <w:b w:val="1"/>
                <w:bCs w:val="1"/>
                <w:color w:val="auto"/>
              </w:rPr>
              <w:t>Exhibit 99.3</w:t>
            </w:r>
          </w:p>
        </w:tc>
      </w:tr>
      <w:tr>
        <w:trPr>
          <w:trHeight w:val="378"/>
        </w:trPr>
        <w:tc>
          <w:tcPr>
            <w:tcW w:w="9240" w:type="dxa"/>
            <w:vAlign w:val="bottom"/>
          </w:tcPr>
          <w:p>
            <w:pPr>
              <w:ind w:left="4040"/>
              <w:spacing w:after="0"/>
              <w:rPr>
                <w:sz w:val="20"/>
                <w:szCs w:val="20"/>
                <w:color w:val="auto"/>
              </w:rPr>
            </w:pPr>
            <w:r>
              <w:rPr>
                <w:rFonts w:ascii="Arial" w:cs="Arial" w:eastAsia="Arial" w:hAnsi="Arial"/>
                <w:sz w:val="18"/>
                <w:szCs w:val="18"/>
                <w:b w:val="1"/>
                <w:bCs w:val="1"/>
                <w:color w:val="auto"/>
              </w:rPr>
              <w:t>Unaudited Pro Forma Financial Information</w:t>
            </w:r>
          </w:p>
        </w:tc>
        <w:tc>
          <w:tcPr>
            <w:tcW w:w="1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3"/>
        </w:trPr>
        <w:tc>
          <w:tcPr>
            <w:tcW w:w="9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77"/>
              </w:rPr>
              <w:t>Page</w:t>
            </w:r>
          </w:p>
        </w:tc>
      </w:tr>
      <w:tr>
        <w:trPr>
          <w:trHeight w:val="302"/>
        </w:trPr>
        <w:tc>
          <w:tcPr>
            <w:tcW w:w="9240" w:type="dxa"/>
            <w:vAlign w:val="bottom"/>
          </w:tcPr>
          <w:p>
            <w:pPr>
              <w:spacing w:after="0"/>
              <w:rPr>
                <w:sz w:val="20"/>
                <w:szCs w:val="20"/>
                <w:color w:val="auto"/>
              </w:rPr>
            </w:pPr>
            <w:r>
              <w:rPr>
                <w:rFonts w:ascii="Arial" w:cs="Arial" w:eastAsia="Arial" w:hAnsi="Arial"/>
                <w:sz w:val="18"/>
                <w:szCs w:val="18"/>
                <w:color w:val="auto"/>
              </w:rPr>
              <w:t>•  Unaudited Pro Forma Condensed Combined Balance Sheet as of March 31, 2011</w:t>
            </w:r>
          </w:p>
        </w:tc>
        <w:tc>
          <w:tcPr>
            <w:tcW w:w="1800" w:type="dxa"/>
            <w:vAlign w:val="bottom"/>
          </w:tcPr>
          <w:p>
            <w:pPr>
              <w:spacing w:after="0"/>
              <w:rPr>
                <w:sz w:val="24"/>
                <w:szCs w:val="24"/>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r>
      <w:tr>
        <w:trPr>
          <w:trHeight w:val="324"/>
        </w:trPr>
        <w:tc>
          <w:tcPr>
            <w:tcW w:w="9240" w:type="dxa"/>
            <w:vAlign w:val="bottom"/>
          </w:tcPr>
          <w:p>
            <w:pPr>
              <w:spacing w:after="0"/>
              <w:rPr>
                <w:sz w:val="20"/>
                <w:szCs w:val="20"/>
                <w:color w:val="auto"/>
              </w:rPr>
            </w:pPr>
            <w:r>
              <w:rPr>
                <w:rFonts w:ascii="Arial" w:cs="Arial" w:eastAsia="Arial" w:hAnsi="Arial"/>
                <w:sz w:val="18"/>
                <w:szCs w:val="18"/>
                <w:color w:val="auto"/>
              </w:rPr>
              <w:t>•  Unaudited Pro Forma Condensed Combined Statements of Income for the year ended December 31, 2010</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r>
      <w:tr>
        <w:trPr>
          <w:trHeight w:val="324"/>
        </w:trPr>
        <w:tc>
          <w:tcPr>
            <w:tcW w:w="9240" w:type="dxa"/>
            <w:vAlign w:val="bottom"/>
          </w:tcPr>
          <w:p>
            <w:pPr>
              <w:spacing w:after="0"/>
              <w:rPr>
                <w:sz w:val="20"/>
                <w:szCs w:val="20"/>
                <w:color w:val="auto"/>
              </w:rPr>
            </w:pPr>
            <w:r>
              <w:rPr>
                <w:rFonts w:ascii="Arial" w:cs="Arial" w:eastAsia="Arial" w:hAnsi="Arial"/>
                <w:sz w:val="18"/>
                <w:szCs w:val="18"/>
                <w:color w:val="auto"/>
              </w:rPr>
              <w:t>•  Unaudited Pro Forma Condensed Combined Statements of Income for the three months ended March 31, 2011</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r>
      <w:tr>
        <w:trPr>
          <w:trHeight w:val="324"/>
        </w:trPr>
        <w:tc>
          <w:tcPr>
            <w:tcW w:w="9240" w:type="dxa"/>
            <w:vAlign w:val="bottom"/>
          </w:tcPr>
          <w:p>
            <w:pPr>
              <w:spacing w:after="0"/>
              <w:rPr>
                <w:sz w:val="20"/>
                <w:szCs w:val="20"/>
                <w:color w:val="auto"/>
              </w:rPr>
            </w:pPr>
            <w:r>
              <w:rPr>
                <w:rFonts w:ascii="Arial" w:cs="Arial" w:eastAsia="Arial" w:hAnsi="Arial"/>
                <w:sz w:val="18"/>
                <w:szCs w:val="18"/>
                <w:color w:val="auto"/>
              </w:rPr>
              <w:t>•  Notes to the Unaudited Pro Forma Condensed Combined Financial Statements</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6" w:name="page47"/>
    <w:bookmarkEnd w:id="46"/>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Unaudited Pro Forma Financial Information</w:t>
      </w:r>
    </w:p>
    <w:p>
      <w:pPr>
        <w:spacing w:after="0" w:line="17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On May 31, 2011, ExlService Holdings, Inc. (the “Company” or “EXL”) completed its acquisition of Business Process Outsourcing, Inc., a Delaware corporation formerly organized as a Cayman Islands exempted company (“OPI”), pursuant to a Merger Agreement, dated as of April 30, 2011 (the “Merger Agreement”), with F&amp;A BPO Merger Sub, Inc., a Delaware corporation and wholly owned subsidiary of EXL (“Merger Sub”), OPI and Shareholder Representative Services LLC, a Colorado limited liability company. Under the terms of the Merger Agreement, Merger Sub merged with and into OPI and OPI survived as a wholly owned subsidiary of EXL (the “Merger”).</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aggregate consideration paid to OPI’s former stockholders in the Merger was $91 million in cash excluding adjustments based on OPI’s working capital, debt and certain expenses incurred by OPI in connection with the consummation of the transactions contemplated by the Merger Agreement (the “Merger Consideration”). Pursuant to the Merger Agreement, a portion of the Merger Consideration was placed into escrow as security for the indemnification obligations of OPI’s stockholders.</w:t>
      </w:r>
    </w:p>
    <w:p>
      <w:pPr>
        <w:spacing w:after="0" w:line="14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unaudited pro forma condensed combined balance sheet is presented as if the acquisition of OPI had occurred on March 31, 2011. The unaudited pro forma condensed combined statement of operations for the year ended December 31, 2010 and the three months ended March 31, 2011 illustrate the effect of the acquisition of OPI had it occurred on January 1, 2010, and were derived from the historical audited consolidated statement of operations for OPI for the year ended December 31, 2010 and the unaudited historical consolidated statement of operations for the three months ended March 31, 2011, combined with the Company’s historical audited consolidated statement of operations for the year ended December 31, 2010 and the unaudited consolidated statement of operations for the three months ended March 31, 2011, respectively, with merger-related adjustments reflected in each of the periods presented.</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preliminary allocation of the purchase price for the acquisition of OPI used in the unaudited pro forma condensed combined financial statements is based upon preliminary estimates and assumptions. These preliminary estimates and assumptions are subject to change during the measurement period (up to one year from the acquisition date) as the Company finalizes the valuations of certain tangible and intangible assets acquired and liabilities assumed in connection with its acquisition of OPI.</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unaudited pro forma condensed combined financial statements, including the notes thereto, do not reflect any potential cost savings or other synergies that could result from the combined operations of the Company and OPI. The unaudited pro forma condensed combined financial statements are presented for illustrative purposes only and are not necessarily indicative of the combined financial position or results of operations for future periods or the results that would have been achieved if the Merger had been consummated on the date indicated.</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unaudited pro forma condensed combined financial information should be read in conjunction with the historical consolidated financial statements and notes thereto of the Company and other financial information pertaining to the Company contained in its Annual Report on Form 10-K for the fiscal year ended December 31, 2010, which was filed with the SEC on March 16, 2011, and its Quarterly Report on Form 10-Q for the quarter ended March 31, 2011, which was filed with the SEC on May 10, 2011, as well as OPI historical financial statements for the year ended December 31, 2010 and the quarter ended March 31, 2011 and 2010, included as Exhibit 99.2 in this Current Report on Form 8-K/A.</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328" w:right="27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7"/>
              </w:rPr>
              <w:t>Pro Forma</w:t>
            </w: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Notes</w:t>
            </w:r>
            <w:r>
              <w:rPr>
                <w:rFonts w:ascii="Arial" w:cs="Arial" w:eastAsia="Arial" w:hAnsi="Arial"/>
                <w:sz w:val="22"/>
                <w:szCs w:val="22"/>
                <w:b w:val="1"/>
                <w:bCs w:val="1"/>
                <w:color w:val="auto"/>
                <w:vertAlign w:val="superscript"/>
              </w:rPr>
              <w:t>(1)</w:t>
            </w: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EXL</w:t>
            </w:r>
          </w:p>
        </w:tc>
        <w:tc>
          <w:tcPr>
            <w:tcW w:w="8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OPI</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1060" w:type="dxa"/>
            <w:vAlign w:val="bottom"/>
            <w:gridSpan w:val="2"/>
            <w:vMerge w:val="continue"/>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96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112,543</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$16,452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(69,840)</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(a)</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59,155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64,478</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11,308</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Fixed assets, net</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37,530</w:t>
            </w:r>
          </w:p>
        </w:tc>
        <w:tc>
          <w:tcPr>
            <w:tcW w:w="3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9,753</w:t>
            </w:r>
          </w:p>
        </w:tc>
        <w:tc>
          <w:tcPr>
            <w:tcW w:w="14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47,283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17,956</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22,600</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(b)</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Goodwill</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43,411</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1,976</w:t>
            </w: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54,604</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(b)</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99,991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net</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15,353</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741</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1,250</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(c)</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Other assets</w:t>
            </w:r>
          </w:p>
        </w:tc>
        <w:tc>
          <w:tcPr>
            <w:tcW w:w="1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20,220</w:t>
            </w:r>
          </w:p>
        </w:tc>
        <w:tc>
          <w:tcPr>
            <w:tcW w:w="3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4,492</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311,491</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44,722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8,614</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364,827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shd w:val="clear" w:color="auto" w:fill="CCEEFF"/>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980" w:type="dxa"/>
            <w:vAlign w:val="bottom"/>
            <w:gridSpan w:val="2"/>
            <w:vMerge w:val="continue"/>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44,137</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$11,483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1,312</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(a) (d) (e)</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Short-term borrowings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390</w:t>
            </w: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30,000</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(f)</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30,390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capital lease obligations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2,237</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Capital lease obligations, less current portion</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389</w:t>
            </w:r>
          </w:p>
        </w:tc>
        <w:tc>
          <w:tcPr>
            <w:tcW w:w="3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5,832</w:t>
            </w:r>
          </w:p>
        </w:tc>
        <w:tc>
          <w:tcPr>
            <w:tcW w:w="14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6,420</w:t>
            </w:r>
          </w:p>
        </w:tc>
        <w:tc>
          <w:tcPr>
            <w:tcW w:w="3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2,652</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8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51,168</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22,594</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31,312</w:t>
            </w: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105,074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(g)</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Stockholders’ equity:</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10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(g)</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Retained earnings/(Accumulated deficit)</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120,627</w:t>
            </w:r>
          </w:p>
        </w:tc>
        <w:tc>
          <w:tcPr>
            <w:tcW w:w="3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(8,839)</w:t>
            </w: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8,269</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(g) (e)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120,057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equity</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139,646</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30,946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(30,946)</w:t>
            </w:r>
          </w:p>
        </w:tc>
        <w:tc>
          <w:tcPr>
            <w:tcW w:w="10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(g)</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139,646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8"/>
                <w:szCs w:val="18"/>
                <w:color w:val="auto"/>
              </w:rPr>
              <w:t>Stockholders’ equity</w:t>
            </w:r>
          </w:p>
        </w:tc>
        <w:tc>
          <w:tcPr>
            <w:tcW w:w="1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80" w:type="dxa"/>
            <w:vAlign w:val="bottom"/>
            <w:gridSpan w:val="2"/>
            <w:vMerge w:val="continue"/>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260,303</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22,128</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(22,698)</w:t>
            </w: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259,733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Non-controlling interest</w:t>
            </w:r>
          </w:p>
        </w:tc>
        <w:tc>
          <w:tcPr>
            <w:tcW w:w="1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8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260,323</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22,128</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(22,698)</w:t>
            </w: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259,753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311,491</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44,722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8,614</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364,827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Refer to note 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Pro Forma Condensed Combined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OPI</w:t>
            </w:r>
            <w:r>
              <w:rPr>
                <w:rFonts w:ascii="Arial" w:cs="Arial" w:eastAsia="Arial" w:hAnsi="Arial"/>
                <w:sz w:val="22"/>
                <w:szCs w:val="22"/>
                <w:b w:val="1"/>
                <w:bCs w:val="1"/>
                <w:color w:val="auto"/>
                <w:vertAlign w:val="superscript"/>
              </w:rPr>
              <w:t>(1)</w:t>
            </w:r>
          </w:p>
        </w:tc>
        <w:tc>
          <w:tcPr>
            <w:tcW w:w="11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4"/>
              </w:rPr>
              <w:t>Pro Forma</w:t>
            </w:r>
          </w:p>
        </w:tc>
        <w:tc>
          <w:tcPr>
            <w:tcW w:w="6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0"/>
              </w:rPr>
              <w:t>Notes</w:t>
            </w:r>
            <w:r>
              <w:rPr>
                <w:rFonts w:ascii="Arial" w:cs="Arial" w:eastAsia="Arial" w:hAnsi="Arial"/>
                <w:sz w:val="22"/>
                <w:szCs w:val="22"/>
                <w:b w:val="1"/>
                <w:bCs w:val="1"/>
                <w:color w:val="auto"/>
                <w:w w:val="80"/>
                <w:vertAlign w:val="superscript"/>
              </w:rPr>
              <w:t>(2)</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ind w:left="200"/>
              <w:spacing w:after="0"/>
              <w:rPr>
                <w:sz w:val="20"/>
                <w:szCs w:val="20"/>
                <w:color w:val="auto"/>
              </w:rPr>
            </w:pPr>
            <w:r>
              <w:rPr>
                <w:rFonts w:ascii="Arial" w:cs="Arial" w:eastAsia="Arial" w:hAnsi="Arial"/>
                <w:sz w:val="14"/>
                <w:szCs w:val="14"/>
                <w:b w:val="1"/>
                <w:bCs w:val="1"/>
                <w:color w:val="auto"/>
              </w:rPr>
              <w:t>EXL</w:t>
            </w: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6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252,753</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76,095</w:t>
            </w: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328,848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151,285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53,699</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w:t>
            </w:r>
          </w:p>
        </w:tc>
        <w:tc>
          <w:tcPr>
            <w:tcW w:w="3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(i)</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101,468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22,396</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1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40,278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7,092</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(645)</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(i)</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420"/>
              <w:spacing w:after="0"/>
              <w:rPr>
                <w:sz w:val="20"/>
                <w:szCs w:val="20"/>
                <w:color w:val="auto"/>
              </w:rPr>
            </w:pPr>
            <w:r>
              <w:rPr>
                <w:rFonts w:ascii="Arial" w:cs="Arial" w:eastAsia="Arial" w:hAnsi="Arial"/>
                <w:sz w:val="18"/>
                <w:szCs w:val="18"/>
                <w:color w:val="auto"/>
              </w:rPr>
              <w:t>Selling and marketing expenses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18,832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5,716</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24,548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3,589</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3,313</w:t>
            </w: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(i)</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74,945</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16,397</w:t>
            </w:r>
          </w:p>
        </w:tc>
        <w:tc>
          <w:tcPr>
            <w:tcW w:w="4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2,668</w:t>
            </w:r>
          </w:p>
        </w:tc>
        <w:tc>
          <w:tcPr>
            <w:tcW w:w="380" w:type="dxa"/>
            <w:vAlign w:val="bottom"/>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5,999</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(2,684)</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gain</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420"/>
              <w:spacing w:after="0"/>
              <w:rPr>
                <w:sz w:val="20"/>
                <w:szCs w:val="20"/>
                <w:color w:val="auto"/>
              </w:rPr>
            </w:pPr>
            <w:r>
              <w:rPr>
                <w:rFonts w:ascii="Arial" w:cs="Arial" w:eastAsia="Arial" w:hAnsi="Arial"/>
                <w:sz w:val="18"/>
                <w:szCs w:val="18"/>
                <w:color w:val="auto"/>
              </w:rPr>
              <w:t>Interest and other income, net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1,367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476</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(862)</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(j) (k)</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6,720</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(3,546)</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5,497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451</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569</w:t>
            </w:r>
          </w:p>
        </w:tc>
        <w:tc>
          <w:tcPr>
            <w:tcW w:w="3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(l)</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6,269</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(4,115)</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0.88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used in computing earnings per share: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29,281,364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29,281,364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30,388,520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30,388,520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Refer to note 3(h).</w:t>
      </w:r>
    </w:p>
    <w:p>
      <w:pPr>
        <w:spacing w:after="0" w:line="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w:t>
        <w:tab/>
        <w:t>Refer to note 3.</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Pro Forma Condensed Combined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EXLSERVICE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7"/>
              </w:rPr>
              <w:t>Pro Forma</w:t>
            </w:r>
          </w:p>
        </w:tc>
        <w:tc>
          <w:tcPr>
            <w:tcW w:w="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Notes</w:t>
            </w:r>
            <w:r>
              <w:rPr>
                <w:rFonts w:ascii="Arial" w:cs="Arial" w:eastAsia="Arial" w:hAnsi="Arial"/>
                <w:sz w:val="22"/>
                <w:szCs w:val="22"/>
                <w:b w:val="1"/>
                <w:bCs w:val="1"/>
                <w:color w:val="auto"/>
                <w:vertAlign w:val="superscript"/>
              </w:rPr>
              <w:t>(1)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213"/>
              <w:spacing w:after="0"/>
              <w:rPr>
                <w:sz w:val="20"/>
                <w:szCs w:val="20"/>
                <w:color w:val="auto"/>
              </w:rPr>
            </w:pPr>
            <w:r>
              <w:rPr>
                <w:rFonts w:ascii="Arial" w:cs="Arial" w:eastAsia="Arial" w:hAnsi="Arial"/>
                <w:sz w:val="14"/>
                <w:szCs w:val="14"/>
                <w:b w:val="1"/>
                <w:bCs w:val="1"/>
                <w:color w:val="auto"/>
              </w:rPr>
              <w:t>EXL</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OPI</w:t>
            </w: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w:t>
            </w:r>
          </w:p>
        </w:tc>
        <w:tc>
          <w:tcPr>
            <w:tcW w:w="7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72,907</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21,834</w:t>
            </w:r>
          </w:p>
        </w:tc>
        <w:tc>
          <w:tcPr>
            <w:tcW w:w="4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44,219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w w:val="83"/>
              </w:rPr>
              <w:t>15,546</w:t>
            </w:r>
          </w:p>
        </w:tc>
        <w:tc>
          <w:tcPr>
            <w:tcW w:w="26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22</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(i)</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59,787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28,688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6,288</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9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2,072</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(890)</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(i)</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Selling and marketing expenses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5,857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1,338</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844</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828</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(i)</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21,180</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4,254</w:t>
            </w:r>
          </w:p>
        </w:tc>
        <w:tc>
          <w:tcPr>
            <w:tcW w:w="260" w:type="dxa"/>
            <w:vAlign w:val="bottom"/>
          </w:tcPr>
          <w:p>
            <w:pPr>
              <w:spacing w:after="0"/>
              <w:rPr>
                <w:sz w:val="19"/>
                <w:szCs w:val="19"/>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(62)</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25,372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2,034</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40</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gain</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36</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Interest and other income, net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74</w:t>
            </w:r>
          </w:p>
        </w:tc>
        <w:tc>
          <w:tcPr>
            <w:tcW w:w="26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(165)</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(j) (k)</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2,144</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(125)</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1,120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138</w:t>
            </w:r>
          </w:p>
        </w:tc>
        <w:tc>
          <w:tcPr>
            <w:tcW w:w="26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129</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(l)</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2,006</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(254)</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90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0.27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w w:val="97"/>
              </w:rPr>
              <w:t>Weighted-average number of shares used in computing earnings per share: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29,620,218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29,620,218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30,911,066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30,911,066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Refer to note 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Pro Forma Condensed Combined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the Unaudited Pro Forma Condensed Combined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PRO FORMA PRESENTATION</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unaudited pro forma condensed combined financial statements included herein have been prepared by the Company, without audit, pursuant to the rules and regulations of the Securities and Exchange Commission.</w:t>
      </w:r>
    </w:p>
    <w:p>
      <w:pPr>
        <w:spacing w:after="0" w:line="132"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unaudited pro forma combined condensed balance sheet as of March 31, 2011 is based on the historical financial statements of the Company and OPI after giving effect to the Company’s acquisition of OPI. The unaudited pro forma condensed combined balance sheet is presented as if the acquisition of OPI had occurred on March 31, 2011.</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unaudited pro forma condensed combined statement of operations for the year ended December 31, 2010 is based on the historical financial statements of the Company and historical financial statements for OPI after giving effect to the acquisition adjustments. The unaudited pro forma condensed combined statement of operations for the three months ended March 31, 2011 is based on the historical financial statements of the Company and OPI after giving effect to the acquisition adjustments. The unaudited pro forma condensed combined statements of operations are presented as if the acquisitions of OPI had occurred on January 1, 2010 with merger–related adjustments reflected in each of the periods presented.</w:t>
      </w:r>
    </w:p>
    <w:p>
      <w:pPr>
        <w:spacing w:after="0" w:line="11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Company accounts for business combinations pursuant to Financial Accounting Standards Board Accounting Standards Codification 805 (“ASC 805”), “Business Combinations”. In accordance with ASC 805, the Company recognizes separately from goodwill, the identifiable assets acquired and the liabilities assumed, generally at the acquisition date fair value as defined by ASC 820, “Fair Value Measurements and Disclosures”. Goodwill as of the acquisition date is measured as the excess of consideration transferred, which is also generally measured at fair value, and the net of the acquisition date amounts of the identifiable assets acquired and the liabilities assumed. These allocations reflect various preliminary estimates and analyses, including preliminary work performed by third party valuation specialists, and are subject to change during the purchase price allocation period (generally one year from the acquisition date) as valuations are finalized.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OPI ACQUISITION</w:t>
      </w:r>
    </w:p>
    <w:p>
      <w:pPr>
        <w:spacing w:after="0" w:line="9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On May 31, 2011, EXL completed its acquisition of OPI, pursuant to the Merger Agreement, dated as of April 30, 2011, with Merger Sub, OPI and Shareholder Representative Services LLC, a Colorado limited liability company. Under the terms of the Merger Agreement, Merger Sub merged with and into OPI and OPI survived as a wholly owned subsidiary of EXL (the “Merger”).</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aggregate consideration paid to OPI’s former stockholders in the Merger was $91,000 in cash excluding adjustments based on OPI’s working capital, debt and certain expenses incurred by OPI in connection with the consummation of the transactions contemplated by the Merger Agreement (the “Merger Consideration”). Pursuant to the Merger Agreement, a portion of the Merger Consideration was placed into escrow as security for the indemnification obligations of OPI’s stockholders.</w:t>
      </w:r>
    </w:p>
    <w:p>
      <w:pPr>
        <w:spacing w:after="0" w:line="143"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8360" w:type="dxa"/>
            <w:vAlign w:val="bottom"/>
            <w:gridSpan w:val="3"/>
          </w:tcPr>
          <w:p>
            <w:pPr>
              <w:spacing w:after="0"/>
              <w:rPr>
                <w:sz w:val="20"/>
                <w:szCs w:val="20"/>
                <w:color w:val="auto"/>
              </w:rPr>
            </w:pPr>
            <w:r>
              <w:rPr>
                <w:rFonts w:ascii="Arial" w:cs="Arial" w:eastAsia="Arial" w:hAnsi="Arial"/>
                <w:sz w:val="18"/>
                <w:szCs w:val="18"/>
                <w:color w:val="auto"/>
              </w:rPr>
              <w:t>The total estimated purchase price of the acquisition is as follows:</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380" w:type="dxa"/>
            <w:vAlign w:val="bottom"/>
            <w:vMerge w:val="restart"/>
          </w:tcPr>
          <w:p>
            <w:pPr>
              <w:spacing w:after="0"/>
              <w:rPr>
                <w:sz w:val="17"/>
                <w:szCs w:val="17"/>
                <w:color w:val="auto"/>
              </w:rPr>
            </w:pPr>
          </w:p>
        </w:tc>
        <w:tc>
          <w:tcPr>
            <w:tcW w:w="698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Enterprise Value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91,000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Less:</w:t>
            </w:r>
          </w:p>
        </w:tc>
        <w:tc>
          <w:tcPr>
            <w:tcW w:w="6500" w:type="dxa"/>
            <w:vAlign w:val="bottom"/>
          </w:tcPr>
          <w:p>
            <w:pPr>
              <w:ind w:left="120"/>
              <w:spacing w:after="0"/>
              <w:rPr>
                <w:sz w:val="20"/>
                <w:szCs w:val="20"/>
                <w:color w:val="auto"/>
              </w:rPr>
            </w:pPr>
            <w:r>
              <w:rPr>
                <w:rFonts w:ascii="Arial" w:cs="Arial" w:eastAsia="Arial" w:hAnsi="Arial"/>
                <w:sz w:val="18"/>
                <w:szCs w:val="18"/>
                <w:color w:val="auto"/>
              </w:rPr>
              <w:t>OPI debt as of the acquisition date</w:t>
            </w: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(7,045)</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Add:</w:t>
            </w:r>
          </w:p>
        </w:tc>
        <w:tc>
          <w:tcPr>
            <w:tcW w:w="65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5"/>
              </w:rPr>
              <w:t>Estimated working capital baseline and other adjustments as of the acquisition date</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16,956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360" w:type="dxa"/>
            <w:vAlign w:val="bottom"/>
            <w:gridSpan w:val="3"/>
          </w:tcPr>
          <w:p>
            <w:pPr>
              <w:ind w:left="1380"/>
              <w:spacing w:after="0"/>
              <w:rPr>
                <w:sz w:val="20"/>
                <w:szCs w:val="20"/>
                <w:color w:val="auto"/>
              </w:rPr>
            </w:pPr>
            <w:r>
              <w:rPr>
                <w:rFonts w:ascii="Arial" w:cs="Arial" w:eastAsia="Arial" w:hAnsi="Arial"/>
                <w:sz w:val="18"/>
                <w:szCs w:val="18"/>
                <w:color w:val="auto"/>
              </w:rPr>
              <w:t>Total estimated purchase price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2"/>
              </w:rPr>
              <w:t>100,911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340"/>
        <w:spacing w:after="0" w:line="440" w:lineRule="auto"/>
        <w:rPr>
          <w:sz w:val="20"/>
          <w:szCs w:val="20"/>
          <w:color w:val="auto"/>
        </w:rPr>
      </w:pPr>
      <w:r>
        <w:rPr>
          <w:rFonts w:ascii="Arial" w:cs="Arial" w:eastAsia="Arial" w:hAnsi="Arial"/>
          <w:sz w:val="18"/>
          <w:szCs w:val="18"/>
          <w:color w:val="auto"/>
        </w:rPr>
        <w:t>The total estimated purchase price includes approximately $1,071, payable to OPI shareholders after finalization of working capital adjustments. 6</w:t>
      </w:r>
    </w:p>
    <w:p>
      <w:pPr>
        <w:sectPr>
          <w:pgSz w:w="11900" w:h="16838" w:orient="portrait"/>
          <w:cols w:equalWidth="0" w:num="1">
            <w:col w:w="11420"/>
          </w:cols>
          <w:pgMar w:left="240" w:top="274" w:right="239" w:bottom="1440" w:gutter="0" w:footer="0" w:header="0"/>
        </w:sectPr>
      </w:pPr>
    </w:p>
    <w:bookmarkStart w:id="51" w:name="page52"/>
    <w:bookmarkEnd w:id="51"/>
    <w:p>
      <w:pPr>
        <w:ind w:left="2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Preliminary Purchase Price Allocation</w:t>
      </w:r>
    </w:p>
    <w:p>
      <w:pPr>
        <w:spacing w:after="0" w:line="9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Pursuant to the Company’s business combinations accounting policy, the total preliminary purchase price for OPI was allocated to the preliminary net tangible and intangible assets based upon their preliminary fair values as set forth below. The excess of the preliminary purchase price over the preliminary net tangible assets and preliminary intangible assets was recorded as goodwill. The Company acquired OPI to strengthen its position as a provider of finance and accounting services. The Company’s finance and accounting outsourcing and transformation capabilities complement OPI’s end-to-end finance and accounting outsourcing capabilities and proprietary platforms. The Merger also furthers the Company’s strategic objective of leveraging technology and proprietary intellectual property in its service offerings. These factors contributed to a purchase price in excess of the fair value of the OPI net tangible and intangible assets acquired, and as a result, the Company has recorded goodwill in connection with this transaction.</w:t>
      </w:r>
    </w:p>
    <w:p>
      <w:pPr>
        <w:spacing w:after="0" w:line="118"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8360" w:type="dxa"/>
            <w:vAlign w:val="bottom"/>
            <w:gridSpan w:val="2"/>
          </w:tcPr>
          <w:p>
            <w:pPr>
              <w:spacing w:after="0"/>
              <w:rPr>
                <w:sz w:val="20"/>
                <w:szCs w:val="20"/>
                <w:color w:val="auto"/>
              </w:rPr>
            </w:pPr>
            <w:r>
              <w:rPr>
                <w:rFonts w:ascii="Arial" w:cs="Arial" w:eastAsia="Arial" w:hAnsi="Arial"/>
                <w:sz w:val="18"/>
                <w:szCs w:val="18"/>
                <w:color w:val="auto"/>
              </w:rPr>
              <w:t>The Company’s preliminary purchase price allocation for OPI is as follows:</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380" w:type="dxa"/>
            <w:vAlign w:val="bottom"/>
            <w:vMerge w:val="restart"/>
          </w:tcPr>
          <w:p>
            <w:pPr>
              <w:spacing w:after="0"/>
              <w:rPr>
                <w:sz w:val="17"/>
                <w:szCs w:val="17"/>
                <w:color w:val="auto"/>
              </w:rPr>
            </w:pPr>
          </w:p>
        </w:tc>
        <w:tc>
          <w:tcPr>
            <w:tcW w:w="6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tangible assets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22,128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38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w w:val="99"/>
              </w:rPr>
              <w:t>Adjustment to recognize assets and liabilities at fair value, except deferred income taxes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980" w:type="dxa"/>
            <w:vAlign w:val="bottom"/>
          </w:tcPr>
          <w:p>
            <w:pPr>
              <w:ind w:left="220"/>
              <w:spacing w:after="0"/>
              <w:rPr>
                <w:sz w:val="20"/>
                <w:szCs w:val="20"/>
                <w:color w:val="auto"/>
              </w:rPr>
            </w:pPr>
            <w:r>
              <w:rPr>
                <w:rFonts w:ascii="Arial" w:cs="Arial" w:eastAsia="Arial" w:hAnsi="Arial"/>
                <w:sz w:val="18"/>
                <w:szCs w:val="18"/>
                <w:color w:val="auto"/>
              </w:rPr>
              <w:t>which are recognized in accordance with ASC 740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380" w:type="dxa"/>
            <w:vAlign w:val="bottom"/>
          </w:tcPr>
          <w:p>
            <w:pPr>
              <w:spacing w:after="0"/>
              <w:rPr>
                <w:sz w:val="18"/>
                <w:szCs w:val="18"/>
                <w:color w:val="auto"/>
              </w:rPr>
            </w:pPr>
          </w:p>
        </w:tc>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current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980" w:type="dxa"/>
            <w:vAlign w:val="bottom"/>
          </w:tcPr>
          <w:p>
            <w:pPr>
              <w:ind w:left="440"/>
              <w:spacing w:after="0"/>
              <w:rPr>
                <w:sz w:val="20"/>
                <w:szCs w:val="20"/>
                <w:color w:val="auto"/>
              </w:rPr>
            </w:pPr>
            <w:r>
              <w:rPr>
                <w:rFonts w:ascii="Arial" w:cs="Arial" w:eastAsia="Arial" w:hAnsi="Arial"/>
                <w:sz w:val="18"/>
                <w:szCs w:val="18"/>
                <w:color w:val="auto"/>
              </w:rPr>
              <w:t>Deferred tax assets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9,049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tax liabilities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(7,799)</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Customer relationships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16,600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980" w:type="dxa"/>
            <w:vAlign w:val="bottom"/>
          </w:tcPr>
          <w:p>
            <w:pPr>
              <w:ind w:left="440"/>
              <w:spacing w:after="0"/>
              <w:rPr>
                <w:sz w:val="20"/>
                <w:szCs w:val="20"/>
                <w:color w:val="auto"/>
              </w:rPr>
            </w:pPr>
            <w:r>
              <w:rPr>
                <w:rFonts w:ascii="Arial" w:cs="Arial" w:eastAsia="Arial" w:hAnsi="Arial"/>
                <w:sz w:val="18"/>
                <w:szCs w:val="18"/>
                <w:color w:val="auto"/>
              </w:rPr>
              <w:t>Favorable lease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Trade name and trademarks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980" w:type="dxa"/>
            <w:vAlign w:val="bottom"/>
          </w:tcPr>
          <w:p>
            <w:pPr>
              <w:ind w:left="440"/>
              <w:spacing w:after="0"/>
              <w:rPr>
                <w:sz w:val="20"/>
                <w:szCs w:val="20"/>
                <w:color w:val="auto"/>
              </w:rPr>
            </w:pPr>
            <w:r>
              <w:rPr>
                <w:rFonts w:ascii="Arial" w:cs="Arial" w:eastAsia="Arial" w:hAnsi="Arial"/>
                <w:sz w:val="18"/>
                <w:szCs w:val="18"/>
                <w:color w:val="auto"/>
              </w:rPr>
              <w:t>Non-compete agreements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54,604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360" w:type="dxa"/>
            <w:vAlign w:val="bottom"/>
            <w:gridSpan w:val="2"/>
          </w:tcPr>
          <w:p>
            <w:pPr>
              <w:ind w:left="1380"/>
              <w:spacing w:after="0"/>
              <w:rPr>
                <w:sz w:val="20"/>
                <w:szCs w:val="20"/>
                <w:color w:val="auto"/>
              </w:rPr>
            </w:pPr>
            <w:r>
              <w:rPr>
                <w:rFonts w:ascii="Arial" w:cs="Arial" w:eastAsia="Arial" w:hAnsi="Arial"/>
                <w:sz w:val="18"/>
                <w:szCs w:val="18"/>
                <w:color w:val="auto"/>
              </w:rPr>
              <w:t>Total purchase price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2"/>
              </w:rPr>
              <w:t>100,911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220" w:right="400" w:hanging="212"/>
        <w:spacing w:after="0" w:line="268" w:lineRule="auto"/>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$14,000 deposited in an escrow account in connection with the acquisition and $1,071 payable to OPI shareholders after finalization of working capital adjustments.</w:t>
      </w:r>
    </w:p>
    <w:p>
      <w:pPr>
        <w:spacing w:after="0" w:line="132"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The preliminary purchase price allocation is based on preliminary estimates and assumptions, and is subject to change during the purchase price measurement period as the Company finalizes the valuations of the tangible and intangible assets.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PRO FORMA ADJUSTMENTS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unaudited pro forma condensed combined balance sheets and statements of operations give effect to the following pro forma adjustments:</w:t>
      </w:r>
    </w:p>
    <w:p>
      <w:pPr>
        <w:spacing w:after="0" w:line="113" w:lineRule="exact"/>
        <w:rPr>
          <w:sz w:val="20"/>
          <w:szCs w:val="20"/>
          <w:color w:val="auto"/>
        </w:rPr>
      </w:pPr>
    </w:p>
    <w:p>
      <w:pPr>
        <w:jc w:val="both"/>
        <w:ind w:left="900" w:hanging="446"/>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Adjustment to record the payout of cash consideration of approximately $99,840 related to the acquisition of OPI, offset by short-term borrowings of $30,000 under the Company’s revolver credit facility. Total estimated purchase price include $1,071 payable to OPI shareholders after finalization of working capital adjustments.</w:t>
      </w:r>
    </w:p>
    <w:p>
      <w:pPr>
        <w:spacing w:after="0" w:line="59"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Adjustment to record the fair value of identifiable intangible assets and goodwill, including the income tax effects, resulting from the Merger. See note 2 above.</w:t>
      </w:r>
    </w:p>
    <w:p>
      <w:pPr>
        <w:spacing w:after="0" w:line="50" w:lineRule="exact"/>
        <w:rPr>
          <w:rFonts w:ascii="Arial" w:cs="Arial" w:eastAsia="Arial" w:hAnsi="Arial"/>
          <w:sz w:val="18"/>
          <w:szCs w:val="18"/>
          <w:color w:val="auto"/>
        </w:rPr>
      </w:pPr>
    </w:p>
    <w:p>
      <w:pPr>
        <w:ind w:left="900" w:right="160" w:hanging="446"/>
        <w:spacing w:after="0" w:line="33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Adjustment to record deferred tax assets of $9,049, primarily related to the release of the valuation allowance on net operating loss carry-forwards, offset by a deferred tax liability of $7,799 recorded on intangible assets recorded in connection with the Merger.</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Adjustment to record the reduction in vacation accrual liability of $329.</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52" w:name="page53"/>
    <w:bookmarkEnd w:id="52"/>
    <w:p>
      <w:pPr>
        <w:ind w:left="446" w:hanging="446"/>
        <w:spacing w:after="0" w:line="306" w:lineRule="auto"/>
        <w:tabs>
          <w:tab w:leader="none" w:pos="446" w:val="left"/>
        </w:tabs>
        <w:numPr>
          <w:ilvl w:val="0"/>
          <w:numId w:val="1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Adjustment for direct merger-related costs of $570 incurred by the Company post March 31, 2011 in connection with the Merger. The merger-related costs are expensed in the period they are incurred and have not been considered in the pro forma condensed combined statement of operations. However, they have been considered for the pro forma condensed combined balance sheet adjustments.</w:t>
      </w:r>
    </w:p>
    <w:p>
      <w:pPr>
        <w:spacing w:after="0" w:line="25" w:lineRule="exact"/>
        <w:rPr>
          <w:rFonts w:ascii="Arial" w:cs="Arial" w:eastAsia="Arial" w:hAnsi="Arial"/>
          <w:sz w:val="16"/>
          <w:szCs w:val="16"/>
          <w:color w:val="auto"/>
        </w:rPr>
      </w:pPr>
    </w:p>
    <w:p>
      <w:pPr>
        <w:ind w:left="446" w:hanging="446"/>
        <w:spacing w:after="0"/>
        <w:tabs>
          <w:tab w:leader="none" w:pos="446"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Adjustment for short-term borrowings of $30,000 under the Company’s revolver credit facility in connection with the Merger.</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Adjustment to eliminate OPI’s historical equity balances.</w:t>
      </w:r>
    </w:p>
    <w:p>
      <w:pPr>
        <w:spacing w:after="0" w:line="90" w:lineRule="exact"/>
        <w:rPr>
          <w:rFonts w:ascii="Arial" w:cs="Arial" w:eastAsia="Arial" w:hAnsi="Arial"/>
          <w:sz w:val="18"/>
          <w:szCs w:val="18"/>
          <w:color w:val="auto"/>
        </w:rPr>
      </w:pPr>
    </w:p>
    <w:p>
      <w:pPr>
        <w:ind w:left="446" w:right="440" w:hanging="446"/>
        <w:spacing w:after="0" w:line="268" w:lineRule="auto"/>
        <w:tabs>
          <w:tab w:leader="none" w:pos="446"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Adjustment to reclassify $12,577 of certain costs of OPI from general and administrative expenses to cost of revenues ($6,861) and selling and marketing expenses ($5,716) to conform to the Company’s presentation.</w:t>
      </w:r>
    </w:p>
    <w:p>
      <w:pPr>
        <w:spacing w:after="0" w:line="50" w:lineRule="exact"/>
        <w:rPr>
          <w:rFonts w:ascii="Arial" w:cs="Arial" w:eastAsia="Arial" w:hAnsi="Arial"/>
          <w:sz w:val="18"/>
          <w:szCs w:val="18"/>
          <w:color w:val="auto"/>
        </w:rPr>
      </w:pPr>
    </w:p>
    <w:p>
      <w:pPr>
        <w:ind w:left="446" w:hanging="446"/>
        <w:spacing w:after="0"/>
        <w:tabs>
          <w:tab w:leader="none" w:pos="446"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Adjustments to:</w:t>
      </w:r>
    </w:p>
    <w:p>
      <w:pPr>
        <w:spacing w:after="0" w:line="90" w:lineRule="exact"/>
        <w:rPr>
          <w:rFonts w:ascii="Arial" w:cs="Arial" w:eastAsia="Arial" w:hAnsi="Arial"/>
          <w:sz w:val="18"/>
          <w:szCs w:val="18"/>
          <w:color w:val="auto"/>
        </w:rPr>
      </w:pPr>
    </w:p>
    <w:p>
      <w:pPr>
        <w:ind w:left="1006" w:right="60" w:hanging="547"/>
        <w:spacing w:after="0" w:line="268" w:lineRule="auto"/>
        <w:tabs>
          <w:tab w:leader="none" w:pos="1006" w:val="left"/>
        </w:tabs>
        <w:numPr>
          <w:ilvl w:val="1"/>
          <w:numId w:val="11"/>
        </w:numPr>
        <w:rPr>
          <w:rFonts w:ascii="Arial" w:cs="Arial" w:eastAsia="Arial" w:hAnsi="Arial"/>
          <w:sz w:val="18"/>
          <w:szCs w:val="18"/>
          <w:color w:val="auto"/>
        </w:rPr>
      </w:pPr>
      <w:r>
        <w:rPr>
          <w:rFonts w:ascii="Arial" w:cs="Arial" w:eastAsia="Arial" w:hAnsi="Arial"/>
          <w:sz w:val="18"/>
          <w:szCs w:val="18"/>
          <w:color w:val="auto"/>
        </w:rPr>
        <w:t>increase stock-based compensation expense as a result of the Company granting restricted stock to former OPI employees on their hire date, May 31, 2011;</w:t>
      </w:r>
    </w:p>
    <w:p>
      <w:pPr>
        <w:spacing w:after="0" w:line="50" w:lineRule="exact"/>
        <w:rPr>
          <w:rFonts w:ascii="Arial" w:cs="Arial" w:eastAsia="Arial" w:hAnsi="Arial"/>
          <w:sz w:val="18"/>
          <w:szCs w:val="18"/>
          <w:color w:val="auto"/>
        </w:rPr>
      </w:pPr>
    </w:p>
    <w:p>
      <w:pPr>
        <w:ind w:left="1006" w:right="520" w:hanging="547"/>
        <w:spacing w:after="0" w:line="268" w:lineRule="auto"/>
        <w:tabs>
          <w:tab w:leader="none" w:pos="1006" w:val="left"/>
        </w:tabs>
        <w:numPr>
          <w:ilvl w:val="1"/>
          <w:numId w:val="11"/>
        </w:numPr>
        <w:rPr>
          <w:rFonts w:ascii="Arial" w:cs="Arial" w:eastAsia="Arial" w:hAnsi="Arial"/>
          <w:sz w:val="18"/>
          <w:szCs w:val="18"/>
          <w:color w:val="auto"/>
        </w:rPr>
      </w:pPr>
      <w:r>
        <w:rPr>
          <w:rFonts w:ascii="Arial" w:cs="Arial" w:eastAsia="Arial" w:hAnsi="Arial"/>
          <w:sz w:val="18"/>
          <w:szCs w:val="18"/>
          <w:color w:val="auto"/>
        </w:rPr>
        <w:t>amortize identifiable intangible assets recognized from the acquisition of OPI. The pro forma adjustment assumes that the identifiable intangibles will be amortized on a straight-line basis over their estimated lives; and</w:t>
      </w:r>
    </w:p>
    <w:p>
      <w:pPr>
        <w:spacing w:after="0" w:line="50" w:lineRule="exact"/>
        <w:rPr>
          <w:rFonts w:ascii="Arial" w:cs="Arial" w:eastAsia="Arial" w:hAnsi="Arial"/>
          <w:sz w:val="18"/>
          <w:szCs w:val="18"/>
          <w:color w:val="auto"/>
        </w:rPr>
      </w:pPr>
    </w:p>
    <w:p>
      <w:pPr>
        <w:ind w:left="1006" w:right="140" w:hanging="547"/>
        <w:spacing w:after="0" w:line="259" w:lineRule="auto"/>
        <w:tabs>
          <w:tab w:leader="none" w:pos="1006" w:val="left"/>
        </w:tabs>
        <w:numPr>
          <w:ilvl w:val="1"/>
          <w:numId w:val="11"/>
        </w:numPr>
        <w:rPr>
          <w:rFonts w:ascii="Arial" w:cs="Arial" w:eastAsia="Arial" w:hAnsi="Arial"/>
          <w:sz w:val="18"/>
          <w:szCs w:val="18"/>
          <w:color w:val="auto"/>
        </w:rPr>
      </w:pPr>
      <w:r>
        <w:rPr>
          <w:rFonts w:ascii="Arial" w:cs="Arial" w:eastAsia="Arial" w:hAnsi="Arial"/>
          <w:sz w:val="18"/>
          <w:szCs w:val="18"/>
          <w:color w:val="auto"/>
        </w:rPr>
        <w:t>reflect merger-related transaction costs including advisory and legal fees incurred for the year ended December 31, 2010 and for the three months ended March 31, 2011, which are directly attributable to the Merger, but which are not expected to have a continuing impact on the combined entity’s results.</w:t>
      </w:r>
    </w:p>
    <w:p>
      <w:pPr>
        <w:spacing w:after="0" w:line="140" w:lineRule="exact"/>
        <w:rPr>
          <w:sz w:val="20"/>
          <w:szCs w:val="20"/>
          <w:color w:val="auto"/>
        </w:rPr>
      </w:pPr>
    </w:p>
    <w:p>
      <w:pPr>
        <w:ind w:left="1046"/>
        <w:spacing w:after="0"/>
        <w:rPr>
          <w:sz w:val="20"/>
          <w:szCs w:val="20"/>
          <w:color w:val="auto"/>
        </w:rPr>
      </w:pPr>
      <w:r>
        <w:rPr>
          <w:rFonts w:ascii="Arial" w:cs="Arial" w:eastAsia="Arial" w:hAnsi="Arial"/>
          <w:sz w:val="18"/>
          <w:szCs w:val="18"/>
          <w:color w:val="auto"/>
        </w:rPr>
        <w:t>Below is the summary of the adjustments specified above:</w:t>
      </w:r>
    </w:p>
    <w:p>
      <w:pPr>
        <w:spacing w:after="0" w:line="195" w:lineRule="exact"/>
        <w:rPr>
          <w:sz w:val="20"/>
          <w:szCs w:val="20"/>
          <w:color w:val="auto"/>
        </w:rPr>
      </w:pPr>
    </w:p>
    <w:tbl>
      <w:tblPr>
        <w:tblLayout w:type="fixed"/>
        <w:tblInd w:w="6"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700" w:type="dxa"/>
            <w:vAlign w:val="bottom"/>
            <w:gridSpan w:val="6"/>
          </w:tcPr>
          <w:p>
            <w:pPr>
              <w:jc w:val="center"/>
              <w:ind w:right="660"/>
              <w:spacing w:after="0"/>
              <w:rPr>
                <w:sz w:val="20"/>
                <w:szCs w:val="20"/>
                <w:color w:val="auto"/>
              </w:rPr>
            </w:pPr>
            <w:r>
              <w:rPr>
                <w:rFonts w:ascii="Arial" w:cs="Arial" w:eastAsia="Arial" w:hAnsi="Arial"/>
                <w:sz w:val="14"/>
                <w:szCs w:val="14"/>
                <w:b w:val="1"/>
                <w:bCs w:val="1"/>
                <w:color w:val="auto"/>
                <w:w w:val="87"/>
              </w:rPr>
              <w:t>Pro Forma Expense Adjustments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87"/>
              </w:rPr>
              <w:t>For the Year Ended December 31, 2010</w:t>
            </w: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8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8"/>
              </w:rPr>
              <w:t>Stock-based</w:t>
            </w:r>
          </w:p>
        </w:tc>
        <w:tc>
          <w:tcPr>
            <w:tcW w:w="660" w:type="dxa"/>
            <w:vAlign w:val="bottom"/>
          </w:tcPr>
          <w:p>
            <w:pPr>
              <w:spacing w:after="0"/>
              <w:rPr>
                <w:sz w:val="11"/>
                <w:szCs w:val="11"/>
                <w:color w:val="auto"/>
              </w:rPr>
            </w:pPr>
          </w:p>
        </w:tc>
        <w:tc>
          <w:tcPr>
            <w:tcW w:w="16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Amortization of</w:t>
            </w:r>
          </w:p>
        </w:tc>
        <w:tc>
          <w:tcPr>
            <w:tcW w:w="100" w:type="dxa"/>
            <w:vAlign w:val="bottom"/>
          </w:tcPr>
          <w:p>
            <w:pPr>
              <w:spacing w:after="0"/>
              <w:rPr>
                <w:sz w:val="11"/>
                <w:szCs w:val="11"/>
                <w:color w:val="auto"/>
              </w:rPr>
            </w:pPr>
          </w:p>
        </w:tc>
        <w:tc>
          <w:tcPr>
            <w:tcW w:w="980" w:type="dxa"/>
            <w:vAlign w:val="bottom"/>
            <w:gridSpan w:val="2"/>
          </w:tcPr>
          <w:p>
            <w:pPr>
              <w:jc w:val="right"/>
              <w:ind w:right="480"/>
              <w:spacing w:after="0" w:line="129" w:lineRule="exact"/>
              <w:rPr>
                <w:sz w:val="20"/>
                <w:szCs w:val="20"/>
                <w:color w:val="auto"/>
              </w:rPr>
            </w:pPr>
            <w:r>
              <w:rPr>
                <w:rFonts w:ascii="Arial" w:cs="Arial" w:eastAsia="Arial" w:hAnsi="Arial"/>
                <w:sz w:val="14"/>
                <w:szCs w:val="14"/>
                <w:b w:val="1"/>
                <w:bCs w:val="1"/>
                <w:color w:val="auto"/>
                <w:w w:val="93"/>
              </w:rPr>
              <w:t>Merger-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w w:val="80"/>
              </w:rPr>
              <w:t>compensation</w:t>
            </w:r>
          </w:p>
        </w:tc>
        <w:tc>
          <w:tcPr>
            <w:tcW w:w="660" w:type="dxa"/>
            <w:vAlign w:val="bottom"/>
          </w:tcPr>
          <w:p>
            <w:pPr>
              <w:spacing w:after="0"/>
              <w:rPr>
                <w:sz w:val="14"/>
                <w:szCs w:val="14"/>
                <w:color w:val="auto"/>
              </w:rPr>
            </w:pP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rPr>
              <w:t>intangible assets</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related costs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420" w:type="dxa"/>
            <w:vAlign w:val="bottom"/>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(661)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84"/>
              </w:rPr>
              <w:t>3,313</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3,313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40" w:type="dxa"/>
            <w:vAlign w:val="bottom"/>
            <w:gridSpan w:val="2"/>
          </w:tcPr>
          <w:p>
            <w:pPr>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32</w:t>
            </w:r>
          </w:p>
        </w:tc>
        <w:tc>
          <w:tcPr>
            <w:tcW w:w="66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ind w:left="240"/>
              <w:spacing w:after="0"/>
              <w:rPr>
                <w:sz w:val="20"/>
                <w:szCs w:val="20"/>
                <w:color w:val="auto"/>
              </w:rPr>
            </w:pPr>
            <w:r>
              <w:rPr>
                <w:rFonts w:ascii="Arial" w:cs="Arial" w:eastAsia="Arial" w:hAnsi="Arial"/>
                <w:sz w:val="18"/>
                <w:szCs w:val="18"/>
                <w:color w:val="auto"/>
                <w:w w:val="84"/>
              </w:rPr>
              <w:t>3,313</w:t>
            </w:r>
          </w:p>
        </w:tc>
        <w:tc>
          <w:tcPr>
            <w:tcW w:w="6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(661)</w:t>
            </w:r>
          </w:p>
        </w:tc>
        <w:tc>
          <w:tcPr>
            <w:tcW w:w="3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2,684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700" w:type="dxa"/>
            <w:vAlign w:val="bottom"/>
            <w:gridSpan w:val="6"/>
          </w:tcPr>
          <w:p>
            <w:pPr>
              <w:jc w:val="center"/>
              <w:ind w:right="660"/>
              <w:spacing w:after="0"/>
              <w:rPr>
                <w:sz w:val="20"/>
                <w:szCs w:val="20"/>
                <w:color w:val="auto"/>
              </w:rPr>
            </w:pPr>
            <w:r>
              <w:rPr>
                <w:rFonts w:ascii="Arial" w:cs="Arial" w:eastAsia="Arial" w:hAnsi="Arial"/>
                <w:sz w:val="14"/>
                <w:szCs w:val="14"/>
                <w:b w:val="1"/>
                <w:bCs w:val="1"/>
                <w:color w:val="auto"/>
                <w:w w:val="87"/>
              </w:rPr>
              <w:t>Pro Forma Expense Adjustments</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88"/>
              </w:rPr>
              <w:t>For the Three Months Ended March 31, 2011</w:t>
            </w: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8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8"/>
              </w:rPr>
              <w:t>Stock-based</w:t>
            </w:r>
          </w:p>
        </w:tc>
        <w:tc>
          <w:tcPr>
            <w:tcW w:w="660" w:type="dxa"/>
            <w:vAlign w:val="bottom"/>
          </w:tcPr>
          <w:p>
            <w:pPr>
              <w:spacing w:after="0"/>
              <w:rPr>
                <w:sz w:val="11"/>
                <w:szCs w:val="11"/>
                <w:color w:val="auto"/>
              </w:rPr>
            </w:pPr>
          </w:p>
        </w:tc>
        <w:tc>
          <w:tcPr>
            <w:tcW w:w="16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Amortization of</w:t>
            </w:r>
          </w:p>
        </w:tc>
        <w:tc>
          <w:tcPr>
            <w:tcW w:w="100" w:type="dxa"/>
            <w:vAlign w:val="bottom"/>
          </w:tcPr>
          <w:p>
            <w:pPr>
              <w:spacing w:after="0"/>
              <w:rPr>
                <w:sz w:val="11"/>
                <w:szCs w:val="11"/>
                <w:color w:val="auto"/>
              </w:rPr>
            </w:pPr>
          </w:p>
        </w:tc>
        <w:tc>
          <w:tcPr>
            <w:tcW w:w="980" w:type="dxa"/>
            <w:vAlign w:val="bottom"/>
            <w:gridSpan w:val="2"/>
          </w:tcPr>
          <w:p>
            <w:pPr>
              <w:jc w:val="right"/>
              <w:ind w:right="480"/>
              <w:spacing w:after="0" w:line="129" w:lineRule="exact"/>
              <w:rPr>
                <w:sz w:val="20"/>
                <w:szCs w:val="20"/>
                <w:color w:val="auto"/>
              </w:rPr>
            </w:pPr>
            <w:r>
              <w:rPr>
                <w:rFonts w:ascii="Arial" w:cs="Arial" w:eastAsia="Arial" w:hAnsi="Arial"/>
                <w:sz w:val="14"/>
                <w:szCs w:val="14"/>
                <w:b w:val="1"/>
                <w:bCs w:val="1"/>
                <w:color w:val="auto"/>
                <w:w w:val="93"/>
              </w:rPr>
              <w:t>Merger-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w w:val="80"/>
              </w:rPr>
              <w:t>compensation</w:t>
            </w:r>
          </w:p>
        </w:tc>
        <w:tc>
          <w:tcPr>
            <w:tcW w:w="660" w:type="dxa"/>
            <w:vAlign w:val="bottom"/>
          </w:tcPr>
          <w:p>
            <w:pPr>
              <w:spacing w:after="0"/>
              <w:rPr>
                <w:sz w:val="14"/>
                <w:szCs w:val="14"/>
                <w:color w:val="auto"/>
              </w:rPr>
            </w:pP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rPr>
              <w:t>intangible assets</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related costs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420" w:type="dxa"/>
            <w:vAlign w:val="bottom"/>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(912)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79"/>
              </w:rPr>
              <w:t>828</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40" w:type="dxa"/>
            <w:vAlign w:val="bottom"/>
            <w:gridSpan w:val="2"/>
          </w:tcPr>
          <w:p>
            <w:pPr>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44</w:t>
            </w:r>
          </w:p>
        </w:tc>
        <w:tc>
          <w:tcPr>
            <w:tcW w:w="66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ind w:left="380"/>
              <w:spacing w:after="0"/>
              <w:rPr>
                <w:sz w:val="20"/>
                <w:szCs w:val="20"/>
                <w:color w:val="auto"/>
              </w:rPr>
            </w:pPr>
            <w:r>
              <w:rPr>
                <w:rFonts w:ascii="Arial" w:cs="Arial" w:eastAsia="Arial" w:hAnsi="Arial"/>
                <w:sz w:val="18"/>
                <w:szCs w:val="18"/>
                <w:color w:val="auto"/>
                <w:w w:val="79"/>
              </w:rPr>
              <w:t>828</w:t>
            </w:r>
          </w:p>
        </w:tc>
        <w:tc>
          <w:tcPr>
            <w:tcW w:w="6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(912)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46" w:right="100" w:hanging="446"/>
        <w:spacing w:after="0" w:line="259" w:lineRule="auto"/>
        <w:tabs>
          <w:tab w:leader="none" w:pos="446"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Adjustment to record a reduction in estimated interest income earned of $336 for the year ended December 31, 2010 and $84 for the three months ended March 31, 2011 at an assumed rate of approximately 0.55% on cash and cash equivalents as a result of the cash payments associated with the Company’s acquisition of OPI.</w:t>
      </w:r>
    </w:p>
    <w:p>
      <w:pPr>
        <w:spacing w:after="0" w:line="127"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6"/>
          </w:cols>
          <w:pgMar w:left="694" w:top="280" w:right="279" w:bottom="1440" w:gutter="0" w:footer="0" w:header="0"/>
        </w:sectPr>
      </w:pPr>
    </w:p>
    <w:bookmarkStart w:id="53" w:name="page54"/>
    <w:bookmarkEnd w:id="53"/>
    <w:p>
      <w:pPr>
        <w:ind w:left="446" w:hanging="446"/>
        <w:spacing w:after="0" w:line="256" w:lineRule="auto"/>
        <w:tabs>
          <w:tab w:leader="none" w:pos="446"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Adjustment to record an increase in estimated interest expense of $526 including the amortization of deferred financing costs for the year ended December 31, 2010 and $81 for the three months ended March 31, 2011 as a result of the short-term borrowing by the Company of $30,000 under the Company’s revolver credit facility in connection with the acquisition. The estimate is based on the assumption that the short-term borrowing is being repaid within a year.</w:t>
      </w:r>
    </w:p>
    <w:p>
      <w:pPr>
        <w:spacing w:after="0" w:line="62" w:lineRule="exact"/>
        <w:rPr>
          <w:rFonts w:ascii="Arial" w:cs="Arial" w:eastAsia="Arial" w:hAnsi="Arial"/>
          <w:sz w:val="18"/>
          <w:szCs w:val="18"/>
          <w:color w:val="auto"/>
        </w:rPr>
      </w:pPr>
    </w:p>
    <w:p>
      <w:pPr>
        <w:ind w:left="446" w:right="180" w:hanging="446"/>
        <w:spacing w:after="0" w:line="256" w:lineRule="auto"/>
        <w:tabs>
          <w:tab w:leader="none" w:pos="446"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Adjustment represents changes to income tax expense as a result of the consummation of this transaction. Had the Company acquired OPI on January 1, 2010, the income-tax expense for the year ended December 31, 2010 and for the three months ended March 31, 2011 would have increased by approximately $568 and $129, respectively. The increase in income tax expense is primarily due to deferred tax expense on utilization of net operating loss in the respective periods.</w:t>
      </w:r>
    </w:p>
    <w:p>
      <w:pPr>
        <w:spacing w:after="0" w:line="130"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9</w:t>
      </w:r>
    </w:p>
    <w:sectPr>
      <w:pgSz w:w="11900" w:h="16838" w:orient="portrait"/>
      <w:cols w:equalWidth="0" w:num="1">
        <w:col w:w="10966"/>
      </w:cols>
      <w:pgMar w:left="694"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lowerLetter"/>
      <w:start w:val="1"/>
    </w:lvl>
    <w:lvl w:ilvl="1">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2"/>
    </w:lvl>
  </w:abstractNum>
  <w:abstractNum w:abstractNumId="4">
    <w:nsid w:val="5BD062C2"/>
    <w:multiLevelType w:val="hybridMultilevel"/>
    <w:lvl w:ilvl="0">
      <w:lvlJc w:val="left"/>
      <w:lvlText w:val="%1."/>
      <w:numFmt w:val="decimal"/>
      <w:start w:val="9"/>
    </w:lvl>
  </w:abstractNum>
  <w:abstractNum w:abstractNumId="5">
    <w:nsid w:val="12200854"/>
    <w:multiLevelType w:val="hybridMultilevel"/>
    <w:lvl w:ilvl="0">
      <w:lvlJc w:val="left"/>
      <w:lvlText w:val="%1."/>
      <w:numFmt w:val="decimal"/>
      <w:start w:val="11"/>
    </w:lvl>
  </w:abstractNum>
  <w:abstractNum w:abstractNumId="6">
    <w:nsid w:val="4DB127F8"/>
    <w:multiLevelType w:val="hybridMultilevel"/>
    <w:lvl w:ilvl="0">
      <w:lvlJc w:val="left"/>
      <w:lvlText w:val="%1."/>
      <w:numFmt w:val="decimal"/>
      <w:start w:val="7"/>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5"/>
    </w:lvl>
    <w:lvl w:ilvl="1">
      <w:lvlJc w:val="left"/>
      <w:lvlText w:val="•"/>
      <w:numFmt w:val="bullet"/>
      <w:start w:val="1"/>
    </w:lvl>
  </w:abstractNum>
  <w:abstractNum w:abstractNumId="11">
    <w:nsid w:val="140E0F76"/>
    <w:multiLevelType w:val="hybridMultilevel"/>
    <w:lvl w:ilvl="0">
      <w:lvlJc w:val="left"/>
      <w:lvlText w:val="%1."/>
      <w:numFmt w:val="lowerLetter"/>
      <w:start w:val="10"/>
    </w:lvl>
  </w:abstractNum>
  <w:abstractNum w:abstractNumId="12">
    <w:nsid w:val="3352255A"/>
    <w:multiLevelType w:val="hybridMultilevel"/>
    <w:lvl w:ilvl="0">
      <w:lvlJc w:val="left"/>
      <w:lvlText w:val="%1."/>
      <w:numFmt w:val="lowerLetter"/>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2019-12-11T00:17:23Z</dcterms:created>
  <dcterms:modified xsi:type="dcterms:W3CDTF">2019-12-11T00:17:23Z</dcterms:modified>
</cp:coreProperties>
</file>