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02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60" w:type="dxa"/>
        <w:tblCellMar>
          <w:top w:w="0" w:type="dxa"/>
          <w:left w:w="0" w:type="dxa"/>
          <w:bottom w:w="0" w:type="dxa"/>
          <w:right w:w="0" w:type="dxa"/>
        </w:tblCellMar>
      </w:tblPr>
      <w:tr>
        <w:trPr>
          <w:trHeight w:val="218"/>
        </w:trPr>
        <w:tc>
          <w:tcPr>
            <w:tcW w:w="6120" w:type="dxa"/>
            <w:vAlign w:val="bottom"/>
          </w:tcPr>
          <w:p>
            <w:pPr>
              <w:jc w:val="center"/>
              <w:ind w:right="3382"/>
              <w:spacing w:after="0"/>
              <w:rPr>
                <w:sz w:val="20"/>
                <w:szCs w:val="20"/>
                <w:color w:val="auto"/>
              </w:rPr>
            </w:pPr>
            <w:r>
              <w:rPr>
                <w:rFonts w:ascii="Arial" w:cs="Arial" w:eastAsia="Arial" w:hAnsi="Arial"/>
                <w:sz w:val="18"/>
                <w:szCs w:val="18"/>
                <w:b w:val="1"/>
                <w:bCs w:val="1"/>
                <w:color w:val="auto"/>
                <w:w w:val="94"/>
              </w:rPr>
              <w:t>DELAWARE</w:t>
            </w:r>
          </w:p>
        </w:tc>
        <w:tc>
          <w:tcPr>
            <w:tcW w:w="1500" w:type="dxa"/>
            <w:vAlign w:val="bottom"/>
          </w:tcPr>
          <w:p>
            <w:pPr>
              <w:jc w:val="right"/>
              <w:ind w:right="2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120" w:type="dxa"/>
            <w:vAlign w:val="bottom"/>
          </w:tcPr>
          <w:p>
            <w:pPr>
              <w:jc w:val="center"/>
              <w:ind w:right="33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50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120" w:type="dxa"/>
            <w:vAlign w:val="bottom"/>
          </w:tcPr>
          <w:p>
            <w:pPr>
              <w:jc w:val="center"/>
              <w:ind w:right="3362"/>
              <w:spacing w:after="0"/>
              <w:rPr>
                <w:sz w:val="20"/>
                <w:szCs w:val="20"/>
                <w:color w:val="auto"/>
              </w:rPr>
            </w:pPr>
            <w:r>
              <w:rPr>
                <w:rFonts w:ascii="Arial" w:cs="Arial" w:eastAsia="Arial" w:hAnsi="Arial"/>
                <w:sz w:val="14"/>
                <w:szCs w:val="14"/>
                <w:b w:val="1"/>
                <w:bCs w:val="1"/>
                <w:color w:val="auto"/>
                <w:w w:val="88"/>
              </w:rPr>
              <w:t>incorporation or organization)</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120" w:type="dxa"/>
            <w:vAlign w:val="bottom"/>
          </w:tcPr>
          <w:p>
            <w:pPr>
              <w:jc w:val="center"/>
              <w:ind w:right="3382"/>
              <w:spacing w:after="0"/>
              <w:rPr>
                <w:sz w:val="20"/>
                <w:szCs w:val="20"/>
                <w:color w:val="auto"/>
              </w:rPr>
            </w:pPr>
            <w:r>
              <w:rPr>
                <w:rFonts w:ascii="Arial" w:cs="Arial" w:eastAsia="Arial" w:hAnsi="Arial"/>
                <w:sz w:val="18"/>
                <w:szCs w:val="18"/>
                <w:b w:val="1"/>
                <w:bCs w:val="1"/>
                <w:color w:val="auto"/>
                <w:w w:val="95"/>
              </w:rPr>
              <w:t>280 PARK AVENUE, 38</w:t>
            </w:r>
            <w:r>
              <w:rPr>
                <w:rFonts w:ascii="Arial" w:cs="Arial" w:eastAsia="Arial" w:hAnsi="Arial"/>
                <w:sz w:val="11"/>
                <w:szCs w:val="11"/>
                <w:b w:val="1"/>
                <w:bCs w:val="1"/>
                <w:color w:val="auto"/>
                <w:w w:val="95"/>
              </w:rPr>
              <w:t>TH</w:t>
            </w:r>
            <w:r>
              <w:rPr>
                <w:rFonts w:ascii="Arial" w:cs="Arial" w:eastAsia="Arial" w:hAnsi="Arial"/>
                <w:sz w:val="18"/>
                <w:szCs w:val="18"/>
                <w:b w:val="1"/>
                <w:bCs w:val="1"/>
                <w:color w:val="auto"/>
                <w:w w:val="95"/>
              </w:rPr>
              <w:t xml:space="preserve"> FLOOR</w:t>
            </w:r>
          </w:p>
        </w:tc>
        <w:tc>
          <w:tcPr>
            <w:tcW w:w="1500" w:type="dxa"/>
            <w:vAlign w:val="bottom"/>
          </w:tcPr>
          <w:p>
            <w:pPr>
              <w:spacing w:after="0"/>
              <w:rPr>
                <w:sz w:val="24"/>
                <w:szCs w:val="24"/>
                <w:color w:val="auto"/>
              </w:rPr>
            </w:pPr>
          </w:p>
        </w:tc>
      </w:tr>
      <w:tr>
        <w:trPr>
          <w:trHeight w:val="231"/>
        </w:trPr>
        <w:tc>
          <w:tcPr>
            <w:tcW w:w="6120" w:type="dxa"/>
            <w:vAlign w:val="bottom"/>
          </w:tcPr>
          <w:p>
            <w:pPr>
              <w:jc w:val="center"/>
              <w:ind w:right="3382"/>
              <w:spacing w:after="0"/>
              <w:rPr>
                <w:sz w:val="20"/>
                <w:szCs w:val="20"/>
                <w:color w:val="auto"/>
              </w:rPr>
            </w:pPr>
            <w:r>
              <w:rPr>
                <w:rFonts w:ascii="Arial" w:cs="Arial" w:eastAsia="Arial" w:hAnsi="Arial"/>
                <w:sz w:val="18"/>
                <w:szCs w:val="18"/>
                <w:b w:val="1"/>
                <w:bCs w:val="1"/>
                <w:color w:val="auto"/>
                <w:w w:val="99"/>
              </w:rPr>
              <w:t>NEW YORK, NEW YORK</w:t>
            </w:r>
          </w:p>
        </w:tc>
        <w:tc>
          <w:tcPr>
            <w:tcW w:w="1500" w:type="dxa"/>
            <w:vAlign w:val="bottom"/>
          </w:tcPr>
          <w:p>
            <w:pPr>
              <w:jc w:val="right"/>
              <w:ind w:right="224"/>
              <w:spacing w:after="0"/>
              <w:rPr>
                <w:sz w:val="20"/>
                <w:szCs w:val="20"/>
                <w:color w:val="auto"/>
              </w:rPr>
            </w:pPr>
            <w:r>
              <w:rPr>
                <w:rFonts w:ascii="Arial" w:cs="Arial" w:eastAsia="Arial" w:hAnsi="Arial"/>
                <w:sz w:val="18"/>
                <w:szCs w:val="18"/>
                <w:b w:val="1"/>
                <w:bCs w:val="1"/>
                <w:color w:val="auto"/>
              </w:rPr>
              <w:t>10017</w:t>
            </w:r>
          </w:p>
        </w:tc>
      </w:tr>
      <w:tr>
        <w:trPr>
          <w:trHeight w:val="174"/>
        </w:trPr>
        <w:tc>
          <w:tcPr>
            <w:tcW w:w="6120" w:type="dxa"/>
            <w:vAlign w:val="bottom"/>
          </w:tcPr>
          <w:p>
            <w:pPr>
              <w:jc w:val="center"/>
              <w:ind w:right="33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6"/>
              </w:rPr>
              <w:t>(Zip code)</w:t>
            </w:r>
          </w:p>
        </w:tc>
      </w:tr>
      <w:tr>
        <w:trPr>
          <w:trHeight w:val="352"/>
        </w:trPr>
        <w:tc>
          <w:tcPr>
            <w:tcW w:w="6120" w:type="dxa"/>
            <w:vAlign w:val="bottom"/>
          </w:tcPr>
          <w:p>
            <w:pPr>
              <w:jc w:val="right"/>
              <w:ind w:right="1342"/>
              <w:spacing w:after="0"/>
              <w:rPr>
                <w:sz w:val="20"/>
                <w:szCs w:val="20"/>
                <w:color w:val="auto"/>
              </w:rPr>
            </w:pPr>
            <w:r>
              <w:rPr>
                <w:rFonts w:ascii="Arial" w:cs="Arial" w:eastAsia="Arial" w:hAnsi="Arial"/>
                <w:sz w:val="18"/>
                <w:szCs w:val="18"/>
                <w:b w:val="1"/>
                <w:bCs w:val="1"/>
                <w:color w:val="auto"/>
              </w:rPr>
              <w:t>(212) 277-7100</w:t>
            </w:r>
          </w:p>
        </w:tc>
        <w:tc>
          <w:tcPr>
            <w:tcW w:w="1500" w:type="dxa"/>
            <w:vAlign w:val="bottom"/>
          </w:tcPr>
          <w:p>
            <w:pPr>
              <w:spacing w:after="0"/>
              <w:rPr>
                <w:sz w:val="24"/>
                <w:szCs w:val="24"/>
                <w:color w:val="auto"/>
              </w:rPr>
            </w:pPr>
          </w:p>
        </w:tc>
      </w:tr>
      <w:tr>
        <w:trPr>
          <w:trHeight w:val="174"/>
        </w:trPr>
        <w:tc>
          <w:tcPr>
            <w:tcW w:w="6120" w:type="dxa"/>
            <w:vAlign w:val="bottom"/>
          </w:tcPr>
          <w:p>
            <w:pPr>
              <w:jc w:val="center"/>
              <w:ind w:left="210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5">
            <w:col w:w="8440" w:space="160"/>
            <w:col w:w="260" w:space="100"/>
            <w:col w:w="140" w:space="200"/>
            <w:col w:w="200" w:space="180"/>
            <w:col w:w="1740"/>
          </w:cols>
          <w:pgMar w:left="240" w:top="230" w:right="239" w:bottom="1440" w:gutter="0" w:footer="0" w:header="0"/>
          <w:type w:val="continuous"/>
        </w:sectPr>
      </w:pPr>
    </w:p>
    <w:p>
      <w:pPr>
        <w:spacing w:after="0" w:line="6" w:lineRule="exact"/>
        <w:rPr>
          <w:sz w:val="24"/>
          <w:szCs w:val="24"/>
          <w:color w:val="auto"/>
        </w:rPr>
      </w:pPr>
    </w:p>
    <w:p>
      <w:pPr>
        <w:ind w:right="20" w:firstLine="456"/>
        <w:spacing w:after="0" w:line="268" w:lineRule="auto"/>
        <w:rPr>
          <w:sz w:val="20"/>
          <w:szCs w:val="20"/>
          <w:color w:val="auto"/>
        </w:rPr>
      </w:pPr>
      <w:r>
        <w:rPr>
          <w:rFonts w:ascii="Arial" w:cs="Arial" w:eastAsia="Arial" w:hAnsi="Arial"/>
          <w:sz w:val="18"/>
          <w:szCs w:val="18"/>
          <w:color w:val="auto"/>
        </w:rPr>
        <w:t>As of November 05, 2013, there were 32,934,882 shares of the registrant’s common stock outstanding (excluding 349,280 shares held in treasury and 4,434 shares of restricted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TABLE OF CONTENTS</w:t>
      </w:r>
    </w:p>
    <w:p>
      <w:pPr>
        <w:spacing w:after="0" w:line="207" w:lineRule="exact"/>
        <w:rPr>
          <w:sz w:val="20"/>
          <w:szCs w:val="20"/>
          <w:color w:val="auto"/>
        </w:rPr>
      </w:pPr>
    </w:p>
    <w:p>
      <w:pPr>
        <w:ind w:left="11000"/>
        <w:spacing w:after="0"/>
        <w:rPr>
          <w:sz w:val="20"/>
          <w:szCs w:val="20"/>
          <w:color w:val="auto"/>
        </w:rPr>
      </w:pPr>
      <w:r>
        <w:rPr>
          <w:rFonts w:ascii="Arial" w:cs="Arial" w:eastAsia="Arial" w:hAnsi="Arial"/>
          <w:sz w:val="12"/>
          <w:szCs w:val="12"/>
          <w:b w:val="1"/>
          <w:bCs w:val="1"/>
          <w:u w:val="single" w:color="auto"/>
          <w:color w:val="auto"/>
        </w:rPr>
        <w:t>PAGE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ITEM</w:t>
      </w:r>
    </w:p>
    <w:tbl>
      <w:tblPr>
        <w:tblLayout w:type="fixed"/>
        <w:tblInd w:w="780" w:type="dxa"/>
        <w:tblCellMar>
          <w:top w:w="0" w:type="dxa"/>
          <w:left w:w="0" w:type="dxa"/>
          <w:bottom w:w="0" w:type="dxa"/>
          <w:right w:w="0" w:type="dxa"/>
        </w:tblCellMar>
      </w:tblPr>
      <w:tr>
        <w:trPr>
          <w:trHeight w:val="179"/>
        </w:trPr>
        <w:tc>
          <w:tcPr>
            <w:tcW w:w="2800" w:type="dxa"/>
            <w:vAlign w:val="bottom"/>
            <w:tcBorders>
              <w:bottom w:val="single" w:sz="8" w:color="0000EE"/>
            </w:tcBorders>
          </w:tcPr>
          <w:p>
            <w:pPr>
              <w:spacing w:after="0" w:line="179"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PART I. FINANCIAL INFORMATION</w:t>
              </w:r>
            </w:hyperlink>
          </w:p>
        </w:tc>
        <w:tc>
          <w:tcPr>
            <w:tcW w:w="7780" w:type="dxa"/>
            <w:vAlign w:val="bottom"/>
          </w:tcPr>
          <w:p>
            <w:pPr>
              <w:jc w:val="right"/>
              <w:spacing w:after="0" w:line="179" w:lineRule="exact"/>
              <w:rPr>
                <w:sz w:val="20"/>
                <w:szCs w:val="20"/>
                <w:color w:val="auto"/>
              </w:rPr>
            </w:pPr>
            <w:r>
              <w:rPr>
                <w:rFonts w:ascii="Arial" w:cs="Arial" w:eastAsia="Arial" w:hAnsi="Arial"/>
                <w:sz w:val="18"/>
                <w:szCs w:val="18"/>
                <w:color w:val="auto"/>
              </w:rPr>
              <w:t>3</w:t>
            </w:r>
          </w:p>
        </w:tc>
      </w:tr>
    </w:tbl>
    <w:p>
      <w:pPr>
        <w:spacing w:after="0" w:line="127" w:lineRule="exact"/>
        <w:rPr>
          <w:sz w:val="20"/>
          <w:szCs w:val="20"/>
          <w:color w:val="auto"/>
        </w:rPr>
      </w:pPr>
    </w:p>
    <w:p>
      <w:pPr>
        <w:ind w:left="780" w:hanging="772"/>
        <w:spacing w:after="0"/>
        <w:tabs>
          <w:tab w:leader="none" w:pos="780" w:val="left"/>
        </w:tabs>
        <w:numPr>
          <w:ilvl w:val="0"/>
          <w:numId w:val="3"/>
        </w:numPr>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bl>
      <w:tblPr>
        <w:tblLayout w:type="fixed"/>
        <w:tblInd w:w="0" w:type="dxa"/>
        <w:tblCellMar>
          <w:top w:w="0" w:type="dxa"/>
          <w:left w:w="0" w:type="dxa"/>
          <w:bottom w:w="0" w:type="dxa"/>
          <w:right w:w="0" w:type="dxa"/>
        </w:tblCellMar>
      </w:tblPr>
      <w:tr>
        <w:trPr>
          <w:trHeight w:val="193"/>
        </w:trPr>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80" w:type="dxa"/>
            <w:vAlign w:val="bottom"/>
            <w:tcBorders>
              <w:bottom w:val="single" w:sz="8" w:color="0000EE"/>
            </w:tcBorders>
            <w:gridSpan w:val="15"/>
          </w:tcPr>
          <w:p>
            <w:pPr>
              <w:spacing w:after="0" w:line="193"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as of September 30, 2013 (Unaudited) and December 31, 2012</w:t>
              </w:r>
            </w:hyperlink>
          </w:p>
        </w:tc>
        <w:tc>
          <w:tcPr>
            <w:tcW w:w="3160" w:type="dxa"/>
            <w:vAlign w:val="bottom"/>
            <w:gridSpan w:val="4"/>
          </w:tcPr>
          <w:p>
            <w:pPr>
              <w:spacing w:after="0"/>
              <w:rPr>
                <w:sz w:val="16"/>
                <w:szCs w:val="16"/>
                <w:color w:val="auto"/>
              </w:rPr>
            </w:pPr>
          </w:p>
        </w:tc>
        <w:tc>
          <w:tcPr>
            <w:tcW w:w="500" w:type="dxa"/>
            <w:vAlign w:val="bottom"/>
          </w:tcPr>
          <w:p>
            <w:pPr>
              <w:jc w:val="right"/>
              <w:spacing w:after="0" w:line="193" w:lineRule="exact"/>
              <w:rPr>
                <w:sz w:val="20"/>
                <w:szCs w:val="20"/>
                <w:color w:val="auto"/>
              </w:rPr>
            </w:pPr>
            <w:r>
              <w:rPr>
                <w:rFonts w:ascii="Arial" w:cs="Arial" w:eastAsia="Arial" w:hAnsi="Arial"/>
                <w:sz w:val="18"/>
                <w:szCs w:val="18"/>
                <w:color w:val="auto"/>
              </w:rPr>
              <w:t>3</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2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Income (Unaudited) for the Three Months Ended and Nine Months Ended September 30, 2013 and 2012</w:t>
              </w:r>
            </w:hyperlink>
          </w:p>
        </w:tc>
        <w:tc>
          <w:tcPr>
            <w:tcW w:w="3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Comprehensive Income/(Loss) (Unaudited) for the Three Months Ended and Nine Months Ended</w:t>
              </w:r>
            </w:hyperlink>
          </w:p>
        </w:tc>
        <w:tc>
          <w:tcPr>
            <w:tcW w:w="82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2013 and 2012</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 (Unaudited) for the Nine Months Ended September 30, 2013 and 2012</w:t>
              </w:r>
            </w:hyperlink>
          </w:p>
        </w:tc>
        <w:tc>
          <w:tcPr>
            <w:tcW w:w="180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Consolidated Financial Statements (Unaudited)</w:t>
              </w:r>
            </w:hyperlink>
          </w:p>
        </w:tc>
        <w:tc>
          <w:tcPr>
            <w:tcW w:w="568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63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Management’s Discussion and Analysis of Financial Condition and Results of Operations</w:t>
              </w:r>
            </w:hyperlink>
          </w:p>
        </w:tc>
        <w:tc>
          <w:tcPr>
            <w:tcW w:w="378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42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Quantitative and Qualitative Disclosures About Market Risk</w:t>
              </w:r>
            </w:hyperlink>
          </w:p>
        </w:tc>
        <w:tc>
          <w:tcPr>
            <w:tcW w:w="582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17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8">
              <w:r>
                <w:rPr>
                  <w:rFonts w:ascii="Arial" w:cs="Arial" w:eastAsia="Arial" w:hAnsi="Arial"/>
                  <w:sz w:val="18"/>
                  <w:szCs w:val="18"/>
                  <w:color w:val="0000EE"/>
                  <w:w w:val="86"/>
                </w:rPr>
                <w:t>Controls and Procedures</w:t>
              </w:r>
            </w:hyperlink>
          </w:p>
        </w:tc>
        <w:tc>
          <w:tcPr>
            <w:tcW w:w="834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8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PART II. 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Legal Proceedings</w:t>
              </w:r>
            </w:hyperlink>
          </w:p>
        </w:tc>
        <w:tc>
          <w:tcPr>
            <w:tcW w:w="1200" w:type="dxa"/>
            <w:vAlign w:val="bottom"/>
            <w:tcBorders>
              <w:top w:val="single" w:sz="8" w:color="0000EE"/>
            </w:tcBorders>
            <w:gridSpan w:val="4"/>
          </w:tcPr>
          <w:p>
            <w:pPr>
              <w:spacing w:after="0"/>
              <w:rPr>
                <w:sz w:val="24"/>
                <w:szCs w:val="24"/>
                <w:color w:val="auto"/>
              </w:rPr>
            </w:pPr>
          </w:p>
        </w:tc>
        <w:tc>
          <w:tcPr>
            <w:tcW w:w="758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1A.</w:t>
            </w:r>
          </w:p>
        </w:tc>
        <w:tc>
          <w:tcPr>
            <w:tcW w:w="1008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24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39">
              <w:r>
                <w:rPr>
                  <w:rFonts w:ascii="Arial" w:cs="Arial" w:eastAsia="Arial" w:hAnsi="Arial"/>
                  <w:sz w:val="18"/>
                  <w:szCs w:val="18"/>
                  <w:color w:val="0000EE"/>
                  <w:w w:val="86"/>
                </w:rPr>
                <w:t>Unregistered Sales of Equity Securities and Use of Proceeds</w:t>
              </w:r>
            </w:hyperlink>
          </w:p>
        </w:tc>
        <w:tc>
          <w:tcPr>
            <w:tcW w:w="584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1008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7820" w:type="dxa"/>
            <w:vAlign w:val="bottom"/>
            <w:gridSpan w:val="11"/>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836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c>
          <w:tcPr>
            <w:tcW w:w="1280" w:type="dxa"/>
            <w:vAlign w:val="bottom"/>
            <w:tcBorders>
              <w:top w:val="single" w:sz="8" w:color="0000EE"/>
            </w:tcBorders>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8800" w:type="dxa"/>
            <w:vAlign w:val="bottom"/>
            <w:gridSpan w:val="1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780" w:type="dxa"/>
            <w:vAlign w:val="bottom"/>
            <w:gridSpan w:val="2"/>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Signatures</w:t>
              </w:r>
            </w:hyperlink>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gridSpan w:val="15"/>
          </w:tcPr>
          <w:p>
            <w:pPr>
              <w:ind w:left="490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20" w:type="dxa"/>
            <w:vAlign w:val="bottom"/>
          </w:tcPr>
          <w:p>
            <w:pPr>
              <w:jc w:val="center"/>
              <w:ind w:left="1232"/>
              <w:spacing w:after="0"/>
              <w:rPr>
                <w:sz w:val="20"/>
                <w:szCs w:val="20"/>
                <w:color w:val="auto"/>
              </w:rPr>
            </w:pPr>
            <w:r>
              <w:rPr>
                <w:rFonts w:ascii="Arial" w:cs="Arial" w:eastAsia="Arial" w:hAnsi="Arial"/>
                <w:sz w:val="18"/>
                <w:szCs w:val="18"/>
                <w:b w:val="1"/>
                <w:bCs w:val="1"/>
                <w:color w:val="auto"/>
                <w:w w:val="99"/>
              </w:rPr>
              <w:t>PART 1. FINANCIAL INFORMATION</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2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20" w:type="dxa"/>
            <w:vAlign w:val="bottom"/>
          </w:tcPr>
          <w:p>
            <w:pPr>
              <w:jc w:val="center"/>
              <w:ind w:left="1232"/>
              <w:spacing w:after="0"/>
              <w:rPr>
                <w:sz w:val="20"/>
                <w:szCs w:val="20"/>
                <w:color w:val="auto"/>
              </w:rPr>
            </w:pPr>
            <w:r>
              <w:rPr>
                <w:rFonts w:ascii="Arial" w:cs="Arial" w:eastAsia="Arial" w:hAnsi="Arial"/>
                <w:sz w:val="18"/>
                <w:szCs w:val="18"/>
                <w:b w:val="1"/>
                <w:bCs w:val="1"/>
                <w:color w:val="auto"/>
                <w:w w:val="99"/>
              </w:rPr>
              <w:t>EXLSERVICE HOLDINGS, INC.</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20" w:type="dxa"/>
            <w:vAlign w:val="bottom"/>
          </w:tcPr>
          <w:p>
            <w:pPr>
              <w:jc w:val="center"/>
              <w:ind w:left="1252"/>
              <w:spacing w:after="0"/>
              <w:rPr>
                <w:sz w:val="20"/>
                <w:szCs w:val="20"/>
                <w:color w:val="auto"/>
              </w:rPr>
            </w:pPr>
            <w:r>
              <w:rPr>
                <w:rFonts w:ascii="Arial" w:cs="Arial" w:eastAsia="Arial" w:hAnsi="Arial"/>
                <w:sz w:val="18"/>
                <w:szCs w:val="18"/>
                <w:b w:val="1"/>
                <w:bCs w:val="1"/>
                <w:color w:val="auto"/>
                <w:w w:val="96"/>
              </w:rPr>
              <w:t>CONSOLIDATED BALANCE SHEETS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20" w:type="dxa"/>
            <w:vAlign w:val="bottom"/>
          </w:tcPr>
          <w:p>
            <w:pPr>
              <w:jc w:val="center"/>
              <w:ind w:left="123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(Recasted)</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132,393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103,037</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6,154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6,137</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74,054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72,443</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6,353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7,460</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w:t>
            </w: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12,146</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237,647</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206,104</w:t>
            </w:r>
          </w:p>
        </w:tc>
        <w:tc>
          <w:tcPr>
            <w:tcW w:w="100" w:type="dxa"/>
            <w:vAlign w:val="bottom"/>
            <w:shd w:val="clear" w:color="auto" w:fill="CCEEFF"/>
          </w:tcPr>
          <w:p>
            <w:pPr>
              <w:spacing w:after="0"/>
              <w:rPr>
                <w:sz w:val="18"/>
                <w:szCs w:val="18"/>
                <w:color w:val="auto"/>
              </w:rPr>
            </w:pPr>
          </w:p>
        </w:tc>
      </w:tr>
      <w:tr>
        <w:trPr>
          <w:trHeight w:val="221"/>
        </w:trPr>
        <w:tc>
          <w:tcPr>
            <w:tcW w:w="9160" w:type="dxa"/>
            <w:vAlign w:val="bottom"/>
            <w:gridSpan w:val="3"/>
          </w:tcPr>
          <w:p>
            <w:pPr>
              <w:spacing w:after="0"/>
              <w:rPr>
                <w:sz w:val="20"/>
                <w:szCs w:val="20"/>
                <w:color w:val="auto"/>
              </w:rPr>
            </w:pPr>
            <w:r>
              <w:rPr>
                <w:rFonts w:ascii="Arial" w:cs="Arial" w:eastAsia="Arial" w:hAnsi="Arial"/>
                <w:sz w:val="18"/>
                <w:szCs w:val="18"/>
                <w:color w:val="auto"/>
              </w:rPr>
              <w:t>Fixed assets, net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31,690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39,356</w:t>
            </w: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13,978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14,123</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40,711</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Goodwill</w:t>
            </w:r>
          </w:p>
        </w:tc>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107,058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110,948</w:t>
            </w: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88"/>
              </w:rPr>
              <w:t>Other assets</w:t>
            </w:r>
          </w:p>
        </w:tc>
        <w:tc>
          <w:tcPr>
            <w:tcW w:w="8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17,348</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20,860</w:t>
            </w:r>
          </w:p>
        </w:tc>
        <w:tc>
          <w:tcPr>
            <w:tcW w:w="100" w:type="dxa"/>
            <w:vAlign w:val="bottom"/>
            <w:shd w:val="clear" w:color="auto" w:fill="CCEEFF"/>
          </w:tcPr>
          <w:p>
            <w:pPr>
              <w:spacing w:after="0"/>
              <w:rPr>
                <w:sz w:val="18"/>
                <w:szCs w:val="18"/>
                <w:color w:val="auto"/>
              </w:rPr>
            </w:pPr>
          </w:p>
        </w:tc>
      </w:t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w w:val="94"/>
              </w:rPr>
              <w:t>Total assets</w:t>
            </w:r>
          </w:p>
        </w:tc>
        <w:tc>
          <w:tcPr>
            <w:tcW w:w="8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446,768</w:t>
            </w:r>
          </w:p>
        </w:tc>
        <w:tc>
          <w:tcPr>
            <w:tcW w:w="5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435,854</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5,395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7,922</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29,393</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32,484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31,737</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8"/>
                <w:szCs w:val="18"/>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67,099</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w:t>
            </w: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18,330</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91,337</w:t>
            </w:r>
          </w:p>
        </w:tc>
      </w:tr>
      <w:tr>
        <w:trPr>
          <w:trHeight w:val="221"/>
        </w:trPr>
        <w:tc>
          <w:tcPr>
            <w:tcW w:w="9160" w:type="dxa"/>
            <w:vAlign w:val="bottom"/>
            <w:gridSpan w:val="3"/>
          </w:tcPr>
          <w:p>
            <w:pPr>
              <w:spacing w:after="0"/>
              <w:rPr>
                <w:sz w:val="20"/>
                <w:szCs w:val="20"/>
                <w:color w:val="auto"/>
              </w:rPr>
            </w:pPr>
            <w:r>
              <w:rPr>
                <w:rFonts w:ascii="Arial" w:cs="Arial" w:eastAsia="Arial" w:hAnsi="Arial"/>
                <w:sz w:val="18"/>
                <w:szCs w:val="18"/>
                <w:color w:val="auto"/>
              </w:rPr>
              <w:t>Commitments and contingencies (See Note 15)</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Common stock, $0.001 par value; 100,000,000 shares authorized, 33,249,047 shares issued and 32,899,767 shares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6"/>
              </w:rPr>
              <w:t>outstanding as of September 30, 2013 and 32,540,082 shares issued and 32,203,820 shares outstanding as of</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December 31, 2012</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209,344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195,248</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221,120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188,882</w:t>
            </w: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(67,278)</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(36,647)</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363,219</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347,516</w:t>
            </w:r>
          </w:p>
        </w:tc>
        <w:tc>
          <w:tcPr>
            <w:tcW w:w="100" w:type="dxa"/>
            <w:vAlign w:val="bottom"/>
            <w:shd w:val="clear" w:color="auto" w:fill="CCEEFF"/>
          </w:tcPr>
          <w:p>
            <w:pPr>
              <w:spacing w:after="0"/>
              <w:rPr>
                <w:sz w:val="18"/>
                <w:szCs w:val="18"/>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w w:val="96"/>
              </w:rPr>
              <w:t>Less: 349,280 shares as of September 30, 2013 and 336,262 shares as of December 31, 2012, held in treasury, at cost</w:t>
            </w: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(3,413)</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(3,024)</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359,806</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344,492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359,806</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344,517</w:t>
            </w:r>
          </w:p>
        </w:tc>
        <w:tc>
          <w:tcPr>
            <w:tcW w:w="100" w:type="dxa"/>
            <w:vAlign w:val="bottom"/>
            <w:shd w:val="clear" w:color="auto" w:fill="CCEEFF"/>
          </w:tcPr>
          <w:p>
            <w:pPr>
              <w:spacing w:after="0"/>
              <w:rPr>
                <w:sz w:val="18"/>
                <w:szCs w:val="18"/>
                <w:color w:val="auto"/>
              </w:rPr>
            </w:pPr>
          </w:p>
        </w:tc>
      </w:tr>
      <w:tr>
        <w:trPr>
          <w:trHeight w:val="222"/>
        </w:trPr>
        <w:tc>
          <w:tcPr>
            <w:tcW w:w="916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446,768</w:t>
            </w:r>
          </w:p>
        </w:tc>
        <w:tc>
          <w:tcPr>
            <w:tcW w:w="5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435,854</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72,049</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218,892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50,266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135,437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123,910</w:t>
            </w:r>
          </w:p>
        </w:tc>
        <w:tc>
          <w:tcPr>
            <w:tcW w:w="0" w:type="dxa"/>
            <w:vAlign w:val="bottom"/>
          </w:tcPr>
          <w:p>
            <w:pPr>
              <w:spacing w:after="0"/>
              <w:rPr>
                <w:sz w:val="1"/>
                <w:szCs w:val="1"/>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15,791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44,265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8,993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27,884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18,843</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30,753</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90,992</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19,513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44,445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17,470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43,080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32,238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29,673</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32,907,281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32,154,001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32,737,267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31,857,909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33,955,445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33,283,854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33,859,525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33,055,857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Three months ended</w:t>
            </w:r>
          </w:p>
        </w:tc>
        <w:tc>
          <w:tcPr>
            <w:tcW w:w="80" w:type="dxa"/>
            <w:vAlign w:val="bottom"/>
          </w:tcPr>
          <w:p>
            <w:pPr>
              <w:spacing w:after="0"/>
              <w:rPr>
                <w:sz w:val="14"/>
                <w:szCs w:val="1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September 30,</w:t>
            </w:r>
          </w:p>
        </w:tc>
        <w:tc>
          <w:tcPr>
            <w:tcW w:w="80" w:type="dxa"/>
            <w:vAlign w:val="bottom"/>
          </w:tcPr>
          <w:p>
            <w:pPr>
              <w:spacing w:after="0"/>
              <w:rPr>
                <w:sz w:val="14"/>
                <w:szCs w:val="1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13,240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$11,703</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32,238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$29,673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Other comprehensive (loss)/gain: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Unrealized (loss)/gain on effective cash flow hedges, net of taxes of ($1,359), $2,468, ($3,048)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$978, respectively</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(4,851)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(12,138)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(7,588)</w:t>
            </w:r>
          </w:p>
        </w:tc>
        <w:tc>
          <w:tcPr>
            <w:tcW w:w="580" w:type="dxa"/>
            <w:vAlign w:val="bottom"/>
          </w:tcPr>
          <w:p>
            <w:pPr>
              <w:jc w:val="right"/>
              <w:spacing w:after="0"/>
              <w:rPr>
                <w:sz w:val="20"/>
                <w:szCs w:val="20"/>
                <w:color w:val="auto"/>
              </w:rPr>
            </w:pPr>
            <w:r>
              <w:rPr>
                <w:rFonts w:ascii="Arial" w:cs="Arial" w:eastAsia="Arial" w:hAnsi="Arial"/>
                <w:sz w:val="18"/>
                <w:szCs w:val="18"/>
                <w:color w:val="auto"/>
              </w:rPr>
              <w:t>8,035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(21,194)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adjustments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860"/>
              <w:spacing w:after="0"/>
              <w:rPr>
                <w:sz w:val="20"/>
                <w:szCs w:val="20"/>
                <w:color w:val="auto"/>
              </w:rPr>
            </w:pPr>
            <w:r>
              <w:rPr>
                <w:rFonts w:ascii="Arial" w:cs="Arial" w:eastAsia="Arial" w:hAnsi="Arial"/>
                <w:sz w:val="18"/>
                <w:szCs w:val="18"/>
                <w:color w:val="auto"/>
                <w:w w:val="89"/>
              </w:rPr>
              <w:t>Realized loss on cash flow hedges, net of taxes of $422, $460, $1,211 and $1,892, respectively</w:t>
            </w:r>
            <w:r>
              <w:rPr>
                <w:rFonts w:ascii="Arial" w:cs="Arial" w:eastAsia="Arial" w:hAnsi="Arial"/>
                <w:sz w:val="11"/>
                <w:szCs w:val="11"/>
                <w:color w:val="auto"/>
                <w:w w:val="89"/>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910</w:t>
            </w:r>
          </w:p>
        </w:tc>
        <w:tc>
          <w:tcPr>
            <w:tcW w:w="580" w:type="dxa"/>
            <w:vAlign w:val="bottom"/>
          </w:tcPr>
          <w:p>
            <w:pPr>
              <w:jc w:val="right"/>
              <w:spacing w:after="0"/>
              <w:rPr>
                <w:sz w:val="20"/>
                <w:szCs w:val="20"/>
                <w:color w:val="auto"/>
              </w:rPr>
            </w:pPr>
            <w:r>
              <w:rPr>
                <w:rFonts w:ascii="Arial" w:cs="Arial" w:eastAsia="Arial" w:hAnsi="Arial"/>
                <w:sz w:val="18"/>
                <w:szCs w:val="18"/>
                <w:color w:val="auto"/>
              </w:rPr>
              <w:t>1,558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2,619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Retirement benefits, net of taxes of $7, $6, $24 and $20, respectively</w:t>
            </w:r>
            <w:r>
              <w:rPr>
                <w:rFonts w:ascii="Arial" w:cs="Arial" w:eastAsia="Arial" w:hAnsi="Arial"/>
                <w:sz w:val="11"/>
                <w:szCs w:val="11"/>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vMerge w:val="restart"/>
          </w:tcPr>
          <w:p>
            <w:pPr>
              <w:ind w:left="420"/>
              <w:spacing w:after="0"/>
              <w:rPr>
                <w:sz w:val="20"/>
                <w:szCs w:val="20"/>
                <w:color w:val="auto"/>
              </w:rPr>
            </w:pPr>
            <w:r>
              <w:rPr>
                <w:rFonts w:ascii="Arial" w:cs="Arial" w:eastAsia="Arial" w:hAnsi="Arial"/>
                <w:sz w:val="18"/>
                <w:szCs w:val="18"/>
                <w:color w:val="auto"/>
              </w:rPr>
              <w:t>Total other comprehensive (loss)/gain</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(11,504)</w:t>
            </w:r>
          </w:p>
        </w:tc>
        <w:tc>
          <w:tcPr>
            <w:tcW w:w="580" w:type="dxa"/>
            <w:vAlign w:val="bottom"/>
          </w:tcPr>
          <w:p>
            <w:pPr>
              <w:jc w:val="right"/>
              <w:spacing w:after="0"/>
              <w:rPr>
                <w:sz w:val="20"/>
                <w:szCs w:val="20"/>
                <w:color w:val="auto"/>
              </w:rPr>
            </w:pPr>
            <w:r>
              <w:rPr>
                <w:rFonts w:ascii="Arial" w:cs="Arial" w:eastAsia="Arial" w:hAnsi="Arial"/>
                <w:sz w:val="18"/>
                <w:szCs w:val="18"/>
                <w:color w:val="auto"/>
              </w:rPr>
              <w:t>17,129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(30,631)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28,832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00" w:hanging="452"/>
        <w:spacing w:after="0" w:line="254"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foreign exchange loss in the unaudited consolidated statements of income. See Note 7 to the unaudited consolidated financial statements.</w:t>
      </w:r>
    </w:p>
    <w:p>
      <w:pPr>
        <w:ind w:left="460" w:right="120" w:hanging="452"/>
        <w:spacing w:after="0" w:line="261"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computation of net periodic pension costs in the unaudited consolidated statements of income. See Note 10 to the unaudited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32,238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18,843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Amortization of debt issuance cost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Non-employee stock options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Unrealized foreign exchange (gain)/loss</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(7,792)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 business unit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(1,459)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(1,163)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Accrued employee cost</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(3,343)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Advance income tax, 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44,230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43,356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(11,735)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(1,692)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redemption of short-term investments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(13,594)</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(15,996)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(1,230)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Payment for purchase of non-controlling interest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21"/>
        </w:trPr>
        <w:tc>
          <w:tcPr>
            <w:tcW w:w="96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29,356</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103,037</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132,393</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118,579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left="240" w:right="8260" w:hanging="232"/>
        <w:spacing w:after="0" w:line="347" w:lineRule="auto"/>
        <w:tabs>
          <w:tab w:leader="none" w:pos="18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and transformation services. The Company’s clients are located principally in the U.S. and the U.K.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The unaudited interim consolidated financial statements have been prepared in accordance with U.S.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2012.</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non-controlling interest as on December 31, 2012 represented the minority partner’s interest in the operation of exl Service.com (India) Private Limited (“Exl India”) and the profits associated with the minority partner’s interest in those operations in the consolidated balance sheet and the consolidated statements of income. During the three months ended September 30, 2013, the Company purchased the entire non-controlling interest from the minority partner for an insignificant amount. The non-controlling interest expenses in these operations for the three and nine months ended September 30, 2013 and 2012 were insignificant and are included under general and administrative expenses in the unaudited consolidated statements of income.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purchase price allocation, recoverability of long-term assets including goodwill and intangibles, and estimates to complete fixed price contracts.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2011, the Financial Accounting Standards Board (“FASB”) issued Accounting Standard Update (ASU) No. 2011-11, “</w:t>
      </w:r>
      <w:r>
        <w:rPr>
          <w:rFonts w:ascii="Arial" w:cs="Arial" w:eastAsia="Arial" w:hAnsi="Arial"/>
          <w:sz w:val="16"/>
          <w:szCs w:val="16"/>
          <w:i w:val="1"/>
          <w:iCs w:val="1"/>
          <w:color w:val="auto"/>
        </w:rPr>
        <w:t>Disclosures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Offsetting Assets and Liabilities,</w:t>
      </w:r>
      <w:r>
        <w:rPr>
          <w:rFonts w:ascii="Arial" w:cs="Arial" w:eastAsia="Arial" w:hAnsi="Arial"/>
          <w:sz w:val="16"/>
          <w:szCs w:val="16"/>
          <w:color w:val="auto"/>
        </w:rPr>
        <w:t>” (ASU No. 2011-11) which is effective for annual reporting periods beginning on or after January 1, 2013, and interim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those annual periods. This authoritative guidance was issued to enhance disclosure requirements on offsetting financial assets and liabilities. The new rules require companies to disclose both gross and net information about instruments and transactions eligible for offset in the statement of financial position, as well as instruments and transactions subject to a netting arrangement. In January 2013, the FASB further issued ASU No. 2013-01, “</w:t>
      </w:r>
      <w:r>
        <w:rPr>
          <w:rFonts w:ascii="Arial" w:cs="Arial" w:eastAsia="Arial" w:hAnsi="Arial"/>
          <w:sz w:val="16"/>
          <w:szCs w:val="16"/>
          <w:i w:val="1"/>
          <w:iCs w:val="1"/>
          <w:color w:val="auto"/>
        </w:rPr>
        <w:t>Clarifying the Scope of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Offsetting Assets and Liabilities</w:t>
      </w:r>
      <w:r>
        <w:rPr>
          <w:rFonts w:ascii="Arial" w:cs="Arial" w:eastAsia="Arial" w:hAnsi="Arial"/>
          <w:sz w:val="16"/>
          <w:szCs w:val="16"/>
          <w:color w:val="auto"/>
        </w:rPr>
        <w:t>” to address implementation issues surrounding the scope of ASU No. 2011-11 and to clarify the scope of the offsetting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and address any unintended consequences. The adoption of this guidance from January 2013 did not have a material impact on the Company’s unaudited consolidated financial statements.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July 2012, the FASB issued ASU No. 2012-02, “</w:t>
      </w:r>
      <w:r>
        <w:rPr>
          <w:rFonts w:ascii="Arial" w:cs="Arial" w:eastAsia="Arial" w:hAnsi="Arial"/>
          <w:sz w:val="16"/>
          <w:szCs w:val="16"/>
          <w:i w:val="1"/>
          <w:iCs w:val="1"/>
          <w:color w:val="auto"/>
        </w:rPr>
        <w:t>Testing Indefinite-Lived Intangible Assets for Impairment</w:t>
      </w:r>
      <w:r>
        <w:rPr>
          <w:rFonts w:ascii="Arial" w:cs="Arial" w:eastAsia="Arial" w:hAnsi="Arial"/>
          <w:sz w:val="16"/>
          <w:szCs w:val="16"/>
          <w:color w:val="auto"/>
        </w:rPr>
        <w:t>,” (ASU No. 2012-02) which simplifies the guidance for testing the impairment of indefinite-lived intangible assets other than goodwill. Examples of intangible assets subject to the guidance include indefinite-lived trademarks, licenses and distribution rights. The amendment provides the option to first assess qualitative factors to determine whether it is necessary to perform the quantitative impairment test. Under the option, an entity is no longer required to calculate the fair value of an indefinite-lived intangible asset unless the entity determines, based on a qualitative assessment, that it is more likely than not that its fair value is less than its carrying amount. This amendment is effective for fiscal years beginning after September 15, 2012, with early adoption permitted. The adoption of this standard did not have a material impact on the Company’s unaudited consolidated financial statements.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October 2012, the FASB issued ASU No. 2012-04, “</w:t>
      </w:r>
      <w:r>
        <w:rPr>
          <w:rFonts w:ascii="Arial" w:cs="Arial" w:eastAsia="Arial" w:hAnsi="Arial"/>
          <w:sz w:val="18"/>
          <w:szCs w:val="18"/>
          <w:i w:val="1"/>
          <w:iCs w:val="1"/>
          <w:color w:val="auto"/>
        </w:rPr>
        <w:t>Technical Corrections and Improvements</w:t>
      </w:r>
      <w:r>
        <w:rPr>
          <w:rFonts w:ascii="Arial" w:cs="Arial" w:eastAsia="Arial" w:hAnsi="Arial"/>
          <w:sz w:val="18"/>
          <w:szCs w:val="18"/>
          <w:color w:val="auto"/>
        </w:rPr>
        <w:t>,” (ASU No. 2012-04) which makes technical corrections and improvements to a variety of topics in the FASB Accounting Standards Codification (the “Codification”). The changes include source literature amendments, guidance clarification, reference corrections and relocated guidance. The ASU also includes conforming amendments to the Codification to reflect ASC 820’s fair value measurement and disclosure requirements. The adoption of this standard effective January 1, 2013 did not have a material impact on the Company’s unaudited consolidated financial statements.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In February 2013, the FASB issued ASU No. 2013-02, </w:t>
      </w:r>
      <w:r>
        <w:rPr>
          <w:rFonts w:ascii="Arial" w:cs="Arial" w:eastAsia="Arial" w:hAnsi="Arial"/>
          <w:sz w:val="16"/>
          <w:szCs w:val="16"/>
          <w:i w:val="1"/>
          <w:iCs w:val="1"/>
          <w:color w:val="auto"/>
        </w:rPr>
        <w:t>“Reporting of Amounts Reclassified out of Accumulated Other Comprehensive Income”</w:t>
      </w:r>
      <w:r>
        <w:rPr>
          <w:rFonts w:ascii="Arial" w:cs="Arial" w:eastAsia="Arial" w:hAnsi="Arial"/>
          <w:sz w:val="16"/>
          <w:szCs w:val="16"/>
          <w:color w:val="auto"/>
        </w:rPr>
        <w:t xml:space="preserve"> (ASU No. 2013-02). Under ASU No. 2013-02, an entity is required to provide information about the amounts reclassified out of accumulated other comprehensive income (“AOCI”) by component. In addition, an entity is required to present, either on the face of the financial statements or in the notes, significant amounts reclassified out of AOCI by the respective line items of net income, but only if the amount reclassified is required to be reclassified in its entirety in the same reporting period. For amounts that are not required to be reclassified in their entirety to net income, an entity is required to cross-reference to other disclosures that provide additional details about those amounts. ASU No. 2013-02 does not change the current requirements for reporting net income or other comprehensive income in the financial statements. ASU No. 2013-02 became effective from January 1, 2013 and the new guidance did not have any material impact on the Company’s unaudited consolidated financial statements.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March 2013, the FASB issued ASU No. 2013-05, “</w:t>
      </w:r>
      <w:r>
        <w:rPr>
          <w:rFonts w:ascii="Arial" w:cs="Arial" w:eastAsia="Arial" w:hAnsi="Arial"/>
          <w:sz w:val="18"/>
          <w:szCs w:val="18"/>
          <w:i w:val="1"/>
          <w:iCs w:val="1"/>
          <w:color w:val="auto"/>
        </w:rPr>
        <w:t>Parent’s Accounting for the Cumulative Translation Adjustment upon Derecognition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subsidiaries or Groups of Assets within a Foreign Entity or of an Investment in a Foreign Entity</w:t>
      </w:r>
      <w:r>
        <w:rPr>
          <w:rFonts w:ascii="Arial" w:cs="Arial" w:eastAsia="Arial" w:hAnsi="Arial"/>
          <w:sz w:val="18"/>
          <w:szCs w:val="18"/>
          <w:color w:val="auto"/>
        </w:rPr>
        <w:t>” (ASU 2013-05). It applies to the release of the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translation adjustment into net income when a parent either sells a part of all of its investment in a foreign entity or no longer holds a controlling financial interest in a subsidiary or group of assets that is a nonprofit activity or a business within a foreign entity. For public entities, the amendments are effective for fiscal years and interim reporting periods beginning after December 15, 2013. The Company is currently assessing the impact, if any, on its unaudited consolidated financial statements.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July 2013, the FASB issued ASU No. 2013-11, “</w:t>
      </w:r>
      <w:r>
        <w:rPr>
          <w:rFonts w:ascii="Arial" w:cs="Arial" w:eastAsia="Arial" w:hAnsi="Arial"/>
          <w:sz w:val="16"/>
          <w:szCs w:val="16"/>
          <w:i w:val="1"/>
          <w:iCs w:val="1"/>
          <w:color w:val="auto"/>
        </w:rPr>
        <w:t>Presentation of an Unrecognized Tax Benefit When a Net Operating Loss Carryforward, a Similar Tax</w:t>
      </w:r>
      <w:r>
        <w:rPr>
          <w:rFonts w:ascii="Arial" w:cs="Arial" w:eastAsia="Arial" w:hAnsi="Arial"/>
          <w:sz w:val="16"/>
          <w:szCs w:val="16"/>
          <w:color w:val="auto"/>
        </w:rPr>
        <w:t xml:space="preserve"> </w:t>
      </w:r>
      <w:r>
        <w:rPr>
          <w:rFonts w:ascii="Arial" w:cs="Arial" w:eastAsia="Arial" w:hAnsi="Arial"/>
          <w:sz w:val="16"/>
          <w:szCs w:val="16"/>
          <w:i w:val="1"/>
          <w:iCs w:val="1"/>
          <w:color w:val="auto"/>
        </w:rPr>
        <w:t>Loss, or a Tax Credit Carryforward Exists</w:t>
      </w:r>
      <w:r>
        <w:rPr>
          <w:rFonts w:ascii="Arial" w:cs="Arial" w:eastAsia="Arial" w:hAnsi="Arial"/>
          <w:sz w:val="16"/>
          <w:szCs w:val="16"/>
          <w:color w:val="auto"/>
        </w:rPr>
        <w:t>” (ASU No. 2013-11). The provisions of the rule require an unrecognized tax benefit to be presented as a reduction to a</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asset in the financial statements for a net operating loss carryforward, a similar tax loss, or a tax credit carryforward except in circumstances when the carryforward or tax loss is not available at the reporting date under the tax laws of the applicable jurisdiction to settle any additional income taxes or the tax law does not require the entity to use, and the entity does not intend to use, the deferred tax asset for such purposes. When those circumstances exist, the unrecognized tax benefit should be presented in the financial statements as a liability and should not be combined with deferred tax assets. The new financial statement presentation provisions relating to this update are prospective and effective for interim and annual periods beginning after December 15, 2013, with early adoption permitted. The Company is currently assessing the impact, if any, on its unaudited consolidated financial statements.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1"/>
              </w:rPr>
              <w:t>September 30,</w:t>
            </w:r>
          </w:p>
        </w:tc>
        <w:tc>
          <w:tcPr>
            <w:tcW w:w="6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9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11,680</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32,484</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vMerge w:val="restart"/>
          </w:tcPr>
          <w:p>
            <w:pPr>
              <w:ind w:left="240"/>
              <w:spacing w:after="0"/>
              <w:rPr>
                <w:sz w:val="20"/>
                <w:szCs w:val="20"/>
                <w:color w:val="auto"/>
              </w:rPr>
            </w:pPr>
            <w:r>
              <w:rPr>
                <w:rFonts w:ascii="Arial" w:cs="Arial" w:eastAsia="Arial" w:hAnsi="Arial"/>
                <w:sz w:val="18"/>
                <w:szCs w:val="18"/>
                <w:b w:val="1"/>
                <w:bCs w:val="1"/>
                <w:i w:val="1"/>
                <w:iCs w:val="1"/>
                <w:color w:val="auto"/>
              </w:rPr>
              <w:t>Non-current liabilities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80" w:type="dxa"/>
            <w:vAlign w:val="bottom"/>
          </w:tcPr>
          <w:p>
            <w:pPr>
              <w:ind w:left="460"/>
              <w:spacing w:after="0"/>
              <w:rPr>
                <w:sz w:val="20"/>
                <w:szCs w:val="20"/>
                <w:color w:val="auto"/>
              </w:rPr>
            </w:pPr>
            <w:r>
              <w:rPr>
                <w:rFonts w:ascii="Arial" w:cs="Arial" w:eastAsia="Arial" w:hAnsi="Arial"/>
                <w:sz w:val="18"/>
                <w:szCs w:val="18"/>
                <w:color w:val="auto"/>
              </w:rPr>
              <w:t>Non-current liabilities consist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1"/>
              </w:rPr>
              <w:t>September 30,</w:t>
            </w:r>
          </w:p>
        </w:tc>
        <w:tc>
          <w:tcPr>
            <w:tcW w:w="62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9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instruments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Retirement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18,330</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13,240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11,703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32,238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Basic weighted average common shares 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32,907,281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32,154,001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32,737,267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31,857,909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share based awards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1,048,164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1,129,853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1,122,258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1,197,948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common shares outstanding</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33,955,445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33,283,854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33,859,525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33,055,857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0.98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w w:val="91"/>
              </w:rPr>
              <w:t>Weighted average common shares considered anti-dilutive in computing diluted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219,189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412,873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242,269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is organized around its outsourcing services and transformation services segments. The Company’s October 2012 acquisition of Landacorp, Inc. (“Landacorp”) is classified within the outsourcing services segment. See note 5 for further details regarding the acquisition of Landacorp (the “Landacorp Acquisition”).</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chief operating decision maker generally reviews financial information at the consolidated statement of income level but does not review any information except for revenues and cost of revenues of the individual segments. Therefore, the Company does not allocate or evaluate operating expenses, interest expense or income, capital expenditures, and income taxes to its operating segments. Consequently, it is not practical to show assets, capital expenditures, depreciation or amortization by segment.</w:t>
      </w:r>
    </w:p>
    <w:p>
      <w:pPr>
        <w:spacing w:after="0" w:line="143"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September 30, 2013 and 2012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1"/>
              </w:rPr>
              <w:t>Three months ended September 30, 2013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1"/>
              </w:rPr>
              <w:t>Three months ended September 30,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84"/>
              </w:rPr>
              <w:t>Outsourcing</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6"/>
              </w:rPr>
              <w:t>Outsourcing</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Services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99,672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122,315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91,984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20,655</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112,639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6"/>
              </w:rPr>
              <w:t>Cost of revenues (exclusive of depreciation and amortization)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56,531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72,049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55,658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12,992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68,650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43,141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36,326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43,989</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30,753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27,119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vMerge w:val="restart"/>
          </w:tcPr>
          <w:p>
            <w:pPr>
              <w:jc w:val="right"/>
              <w:ind w:right="39"/>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Revenues and cost of revenues for each of the nine months ended September 30, 2013 and 2012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4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w w:val="97"/>
              </w:rPr>
              <w:t>Nine months ended September 30, 2013</w:t>
            </w:r>
          </w:p>
        </w:tc>
        <w:tc>
          <w:tcPr>
            <w:tcW w:w="302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w w:val="96"/>
              </w:rPr>
              <w:t>Nine months ended September 30,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Outsourcing</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5"/>
              </w:rPr>
              <w:t>Transformation</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9"/>
              </w:rPr>
              <w:t>Services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jc w:val="right"/>
              <w:ind w:right="42"/>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$ 294,573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354,329</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$ 270,640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54,637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325,277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6"/>
              </w:rPr>
              <w:t>Cost of revenues (exclusive of depreciation and amortization)</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175,490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218,892</w:t>
            </w:r>
          </w:p>
        </w:tc>
        <w:tc>
          <w:tcPr>
            <w:tcW w:w="720" w:type="dxa"/>
            <w:vAlign w:val="bottom"/>
          </w:tcPr>
          <w:p>
            <w:pPr>
              <w:jc w:val="right"/>
              <w:spacing w:after="0"/>
              <w:rPr>
                <w:sz w:val="20"/>
                <w:szCs w:val="20"/>
                <w:color w:val="auto"/>
              </w:rPr>
            </w:pPr>
            <w:r>
              <w:rPr>
                <w:rFonts w:ascii="Arial" w:cs="Arial" w:eastAsia="Arial" w:hAnsi="Arial"/>
                <w:sz w:val="18"/>
                <w:szCs w:val="18"/>
                <w:color w:val="auto"/>
              </w:rPr>
              <w:t>166,637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34,730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201,367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$ 119,083</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135,437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$ 104,003</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123,910</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90,992</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82,216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(1,365)</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 provision</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10,842</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32,238</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October 12, 2012, the Company acquired Landacorp, a leading provider of healthcare solutions and technology. Landacorp has more than 50 million lives under management on its software platforms and has developed services and technology solutions that share vital clinical data with payers, providers, plan participants and accountable care organizations. The Landacorp Acquisition furthers the Company’s strategic intent to continue investing in the healthcare domain and strengthen its capabilities to serve the U.S. healthcare industry and continue to invest in building processes, analytics and platform capabilities in its focused verticals. Accordingly, the Company paid a premium for the acquisition which is being reflected in the goodwill recognized from the purchase price allocation of the total purchase consideration paid by the Company.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80" w:type="dxa"/>
            <w:vAlign w:val="bottom"/>
            <w:gridSpan w:val="2"/>
          </w:tcPr>
          <w:p>
            <w:pPr>
              <w:ind w:left="180"/>
              <w:spacing w:after="0"/>
              <w:rPr>
                <w:sz w:val="20"/>
                <w:szCs w:val="20"/>
                <w:color w:val="auto"/>
              </w:rPr>
            </w:pPr>
            <w:r>
              <w:rPr>
                <w:rFonts w:ascii="Arial" w:cs="Arial" w:eastAsia="Arial" w:hAnsi="Arial"/>
                <w:sz w:val="18"/>
                <w:szCs w:val="18"/>
                <w:color w:val="auto"/>
              </w:rPr>
              <w:t>The total purchase price of the acquisition is as follows:</w:t>
            </w:r>
          </w:p>
        </w:tc>
        <w:tc>
          <w:tcPr>
            <w:tcW w:w="3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40" w:type="dxa"/>
            <w:vAlign w:val="bottom"/>
            <w:gridSpan w:val="2"/>
          </w:tcPr>
          <w:p>
            <w:pPr>
              <w:spacing w:after="0"/>
              <w:rPr>
                <w:sz w:val="17"/>
                <w:szCs w:val="17"/>
                <w:color w:val="auto"/>
              </w:rPr>
            </w:pPr>
          </w:p>
        </w:tc>
        <w:tc>
          <w:tcPr>
            <w:tcW w:w="64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3"/>
          </w:tcPr>
          <w:p>
            <w:pPr>
              <w:spacing w:after="0"/>
              <w:rPr>
                <w:sz w:val="20"/>
                <w:szCs w:val="20"/>
                <w:color w:val="auto"/>
              </w:rPr>
            </w:pPr>
            <w:r>
              <w:rPr>
                <w:rFonts w:ascii="Arial" w:cs="Arial" w:eastAsia="Arial" w:hAnsi="Arial"/>
                <w:sz w:val="18"/>
                <w:szCs w:val="18"/>
                <w:color w:val="auto"/>
              </w:rPr>
              <w:t>Add: Working capital adjustments*</w:t>
            </w:r>
          </w:p>
        </w:tc>
        <w:tc>
          <w:tcPr>
            <w:tcW w:w="3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7280" w:type="dxa"/>
            <w:vAlign w:val="bottom"/>
            <w:gridSpan w:val="2"/>
          </w:tcPr>
          <w:p>
            <w:pPr>
              <w:ind w:left="180"/>
              <w:spacing w:after="0"/>
              <w:rPr>
                <w:sz w:val="20"/>
                <w:szCs w:val="20"/>
                <w:color w:val="auto"/>
              </w:rPr>
            </w:pPr>
            <w:r>
              <w:rPr>
                <w:rFonts w:ascii="Arial" w:cs="Arial" w:eastAsia="Arial" w:hAnsi="Arial"/>
                <w:sz w:val="18"/>
                <w:szCs w:val="18"/>
                <w:color w:val="auto"/>
              </w:rPr>
              <w:t>Paid in January 2013.</w:t>
            </w:r>
          </w:p>
        </w:tc>
        <w:tc>
          <w:tcPr>
            <w:tcW w:w="3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After the December 31, 2012 consolidated financial statements were issued, the Company received further information including a revised valuation report from a third party valuation firm with respect to the Landacorp Acquisition. After considering the results of the additional information, the Company revised its estimates related to certain of its acquired intangibles and other assets as of the date of acquisition as follows: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Revised</w:t>
            </w: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Initial</w:t>
            </w:r>
          </w:p>
        </w:tc>
      </w:tr>
      <w:tr>
        <w:trPr>
          <w:trHeight w:val="161"/>
        </w:trPr>
        <w:tc>
          <w:tcPr>
            <w:tcW w:w="98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Allocation</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7"/>
              </w:rPr>
              <w:t>Allocation</w:t>
            </w:r>
          </w:p>
        </w:tc>
      </w:tr>
      <w:tr>
        <w:trPr>
          <w:trHeight w:val="196"/>
        </w:trPr>
        <w:tc>
          <w:tcPr>
            <w:tcW w:w="9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820" w:type="dxa"/>
            <w:vAlign w:val="bottom"/>
          </w:tcPr>
          <w:p>
            <w:pPr>
              <w:ind w:left="440"/>
              <w:spacing w:after="0"/>
              <w:rPr>
                <w:sz w:val="20"/>
                <w:szCs w:val="20"/>
                <w:color w:val="auto"/>
              </w:rPr>
            </w:pPr>
            <w:r>
              <w:rPr>
                <w:rFonts w:ascii="Arial" w:cs="Arial" w:eastAsia="Arial" w:hAnsi="Arial"/>
                <w:sz w:val="18"/>
                <w:szCs w:val="18"/>
                <w:color w:val="auto"/>
              </w:rPr>
              <w:t>Identifiable intangible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ind w:left="880"/>
              <w:spacing w:after="0"/>
              <w:rPr>
                <w:sz w:val="20"/>
                <w:szCs w:val="20"/>
                <w:color w:val="auto"/>
              </w:rPr>
            </w:pPr>
            <w:r>
              <w:rPr>
                <w:rFonts w:ascii="Arial" w:cs="Arial" w:eastAsia="Arial" w:hAnsi="Arial"/>
                <w:sz w:val="18"/>
                <w:szCs w:val="18"/>
                <w:color w:val="auto"/>
              </w:rPr>
              <w:t>Developed technology</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18"/>
                <w:szCs w:val="18"/>
                <w:color w:val="auto"/>
              </w:rPr>
            </w:pPr>
          </w:p>
        </w:tc>
      </w:tr>
      <w:tr>
        <w:trPr>
          <w:trHeight w:val="216"/>
        </w:trPr>
        <w:tc>
          <w:tcPr>
            <w:tcW w:w="9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Trade names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ind w:left="440"/>
              <w:spacing w:after="0"/>
              <w:rPr>
                <w:sz w:val="20"/>
                <w:szCs w:val="20"/>
                <w:color w:val="auto"/>
              </w:rPr>
            </w:pPr>
            <w:r>
              <w:rPr>
                <w:rFonts w:ascii="Arial" w:cs="Arial" w:eastAsia="Arial" w:hAnsi="Arial"/>
                <w:sz w:val="18"/>
                <w:szCs w:val="18"/>
                <w:color w:val="auto"/>
              </w:rPr>
              <w:t>Net tangible assets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10,727</w:t>
            </w:r>
          </w:p>
        </w:tc>
        <w:tc>
          <w:tcPr>
            <w:tcW w:w="100" w:type="dxa"/>
            <w:vAlign w:val="bottom"/>
          </w:tcPr>
          <w:p>
            <w:pPr>
              <w:spacing w:after="0"/>
              <w:rPr>
                <w:sz w:val="18"/>
                <w:szCs w:val="18"/>
                <w:color w:val="auto"/>
              </w:rPr>
            </w:pPr>
          </w:p>
        </w:tc>
      </w:tr>
      <w:tr>
        <w:trPr>
          <w:trHeight w:val="216"/>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19,276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14,999</w:t>
            </w:r>
          </w:p>
        </w:tc>
        <w:tc>
          <w:tcPr>
            <w:tcW w:w="100" w:type="dxa"/>
            <w:vAlign w:val="bottom"/>
            <w:shd w:val="clear" w:color="auto" w:fill="CCEEFF"/>
          </w:tcPr>
          <w:p>
            <w:pPr>
              <w:spacing w:after="0"/>
              <w:rPr>
                <w:sz w:val="18"/>
                <w:szCs w:val="18"/>
                <w:color w:val="auto"/>
              </w:rPr>
            </w:pPr>
          </w:p>
        </w:tc>
      </w:tr>
      <w:tr>
        <w:trPr>
          <w:trHeight w:val="222"/>
        </w:trPr>
        <w:tc>
          <w:tcPr>
            <w:tcW w:w="9820" w:type="dxa"/>
            <w:vAlign w:val="bottom"/>
          </w:tcPr>
          <w:p>
            <w:pPr>
              <w:ind w:left="440"/>
              <w:spacing w:after="0"/>
              <w:rPr>
                <w:sz w:val="20"/>
                <w:szCs w:val="20"/>
                <w:color w:val="auto"/>
              </w:rPr>
            </w:pPr>
            <w:r>
              <w:rPr>
                <w:rFonts w:ascii="Arial" w:cs="Arial" w:eastAsia="Arial" w:hAnsi="Arial"/>
                <w:sz w:val="18"/>
                <w:szCs w:val="18"/>
                <w:color w:val="auto"/>
              </w:rPr>
              <w:t>Total purchase price</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38,683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38,683</w:t>
            </w:r>
          </w:p>
        </w:tc>
        <w:tc>
          <w:tcPr>
            <w:tcW w:w="100" w:type="dxa"/>
            <w:vAlign w:val="bottom"/>
          </w:tcPr>
          <w:p>
            <w:pPr>
              <w:spacing w:after="0"/>
              <w:rPr>
                <w:sz w:val="19"/>
                <w:szCs w:val="19"/>
                <w:color w:val="auto"/>
              </w:rPr>
            </w:pPr>
          </w:p>
        </w:tc>
      </w:tr>
      <w:tr>
        <w:trPr>
          <w:trHeight w:val="20"/>
        </w:trPr>
        <w:tc>
          <w:tcPr>
            <w:tcW w:w="9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revision did not have a material impact on the Company’s consolidated earnings for the year ended December 31, 2012. As required by the accounting guidance for business combinations, this adjustment was recorded by the Company retrospectively as of the acquisition date resulting in changes to the preliminary amounts as set forth in the Company’s December 31, 2012 consolidated balance sheet included in its Annual Report on Form 10-K for the year ended December 31,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September 30,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Outsourcing</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7"/>
              </w:rPr>
              <w:t>Transformation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79"/>
              </w:rPr>
              <w:t>Services</w:t>
            </w: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Services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75,502</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3"/>
              </w:rPr>
              <w:t>16,785</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420"/>
              <w:spacing w:after="0"/>
              <w:rPr>
                <w:sz w:val="20"/>
                <w:szCs w:val="20"/>
                <w:color w:val="auto"/>
              </w:rPr>
            </w:pPr>
            <w:r>
              <w:rPr>
                <w:rFonts w:ascii="Arial" w:cs="Arial" w:eastAsia="Arial" w:hAnsi="Arial"/>
                <w:sz w:val="18"/>
                <w:szCs w:val="18"/>
                <w:color w:val="auto"/>
              </w:rPr>
              <w:t>Goodwill arising from Landacorp acquisition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19,276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accounting adjustments</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4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(1,037)</w:t>
            </w:r>
          </w:p>
        </w:tc>
        <w:tc>
          <w:tcPr>
            <w:tcW w:w="16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94,163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3"/>
              </w:rPr>
              <w:t>16,785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110,948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4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(3,640)</w:t>
            </w:r>
          </w:p>
        </w:tc>
        <w:tc>
          <w:tcPr>
            <w:tcW w:w="16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Allocation on sale of a business unit</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7960" w:type="dxa"/>
            <w:vAlign w:val="bottom"/>
            <w:gridSpan w:val="3"/>
            <w:vMerge w:val="restart"/>
          </w:tcPr>
          <w:p>
            <w:pPr>
              <w:spacing w:after="0"/>
              <w:rPr>
                <w:sz w:val="20"/>
                <w:szCs w:val="20"/>
                <w:color w:val="auto"/>
              </w:rPr>
            </w:pPr>
            <w:r>
              <w:rPr>
                <w:rFonts w:ascii="Arial" w:cs="Arial" w:eastAsia="Arial" w:hAnsi="Arial"/>
                <w:sz w:val="18"/>
                <w:szCs w:val="18"/>
                <w:color w:val="auto"/>
              </w:rPr>
              <w:t>Balance at September 30, 2013</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60" w:type="dxa"/>
            <w:vAlign w:val="bottom"/>
            <w:gridSpan w:val="3"/>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90,273</w:t>
            </w:r>
          </w:p>
        </w:tc>
        <w:tc>
          <w:tcPr>
            <w:tcW w:w="4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280"/>
              <w:spacing w:after="0"/>
              <w:rPr>
                <w:sz w:val="20"/>
                <w:szCs w:val="20"/>
                <w:color w:val="auto"/>
              </w:rPr>
            </w:pPr>
            <w:r>
              <w:rPr>
                <w:rFonts w:ascii="Arial" w:cs="Arial" w:eastAsia="Arial" w:hAnsi="Arial"/>
                <w:sz w:val="18"/>
                <w:szCs w:val="18"/>
                <w:color w:val="auto"/>
                <w:w w:val="83"/>
              </w:rPr>
              <w:t>16,785</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107,058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Relates to the acquisition of Business Process Outsourcing Inc. (“OPI”) on May 31, 2011 (the “OPI Acquisition”) pertaining to service tax receivables included under “other current assets” in the consolidated balance sheet as of December 31, 2011.</w:t>
      </w:r>
    </w:p>
    <w:p>
      <w:pPr>
        <w:ind w:left="460" w:right="14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Relates to the sale of a business unit (acquired with the OPI acquisition) during the three months ended September 30, 2013. The net loss recognized from the sale of this business unit is $190 and is included under “other income/ (expense)” in the consolidated statements of income for the three months and nine months ended September 30, 2013.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As of September 30, 2013</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8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78"/>
              </w:rPr>
              <w:t>Gross</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8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Carrying</w:t>
            </w:r>
          </w:p>
        </w:tc>
        <w:tc>
          <w:tcPr>
            <w:tcW w:w="3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8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3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8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$38,602</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(11,107)</w:t>
            </w: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$27,495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Leasehold benefits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2,947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(1,366)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6,014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Non-compete agreements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1,316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(1,316)</w:t>
            </w:r>
          </w:p>
        </w:tc>
        <w:tc>
          <w:tcPr>
            <w:tcW w:w="4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CEEFF"/>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52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52,201</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(16,580)</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35,621</w:t>
            </w:r>
          </w:p>
        </w:tc>
        <w:tc>
          <w:tcPr>
            <w:tcW w:w="10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8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9"/>
              </w:rPr>
              <w:t>As of December 31, 2012</w:t>
            </w: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8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78"/>
              </w:rPr>
              <w:t>Gross</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8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Carrying</w:t>
            </w:r>
          </w:p>
        </w:tc>
        <w:tc>
          <w:tcPr>
            <w:tcW w:w="3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8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3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8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$38,728</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$30,896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Leasehold benefits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3,355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(1,213)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6,013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Non-compete agreements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1,316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(1,316)</w:t>
            </w:r>
          </w:p>
        </w:tc>
        <w:tc>
          <w:tcPr>
            <w:tcW w:w="4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52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52,734</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(12,023)</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40,711</w:t>
            </w:r>
          </w:p>
        </w:tc>
        <w:tc>
          <w:tcPr>
            <w:tcW w:w="10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Amortization expense for the three months ended September 30, 2013 and 2012 was $1,534 and $1,324, respectively. Amortization expense for the nine months ended September 30, 2013 and 2012 was $4,764 and $4,083, respectively. The weighted average life of intangible assets was 8.8 years for customer relationships, 6.8 years for leasehold benefits, 8.0 years for developed technology, 1.5 years for non-compete agreements and 3.5 years for trade names and trademarks excluding indefinite life trade names and trademarks. The Company had $900 of indefinite life trade names and trademarks as of September 30, 2013 and December 31, 2012.</w:t>
      </w:r>
    </w:p>
    <w:p>
      <w:pPr>
        <w:spacing w:after="0" w:line="19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Estimated amortization of intangible assets during the year ending September 30,</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2014</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5,938</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5,538</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2016</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5,538</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5,530</w:t>
            </w:r>
          </w:p>
        </w:tc>
      </w:tr>
      <w:tr>
        <w:trPr>
          <w:trHeight w:val="222"/>
        </w:trPr>
        <w:tc>
          <w:tcPr>
            <w:tcW w:w="6460" w:type="dxa"/>
            <w:vAlign w:val="bottom"/>
          </w:tcPr>
          <w:p>
            <w:pPr>
              <w:spacing w:after="0"/>
              <w:rPr>
                <w:sz w:val="20"/>
                <w:szCs w:val="20"/>
                <w:color w:val="auto"/>
              </w:rPr>
            </w:pPr>
            <w:r>
              <w:rPr>
                <w:rFonts w:ascii="Arial" w:cs="Arial" w:eastAsia="Arial" w:hAnsi="Arial"/>
                <w:sz w:val="18"/>
                <w:szCs w:val="18"/>
                <w:color w:val="auto"/>
              </w:rPr>
              <w:t>2018</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5,413</w:t>
            </w:r>
          </w:p>
        </w:tc>
      </w:tr>
      <w:tr>
        <w:trPr>
          <w:trHeight w:val="356"/>
        </w:trPr>
        <w:tc>
          <w:tcPr>
            <w:tcW w:w="6460" w:type="dxa"/>
            <w:vAlign w:val="bottom"/>
          </w:tcPr>
          <w:p>
            <w:pPr>
              <w:ind w:left="378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following table sets forth the Company’s assets and liabilities that were accounted for at fair value on a recurring basis as of September 30, 2013 and December 31, 2012. The table excludes short-term investments, accounts receivable, accounts payable and accrued expenses for which fair values approximate their carrying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40" w:type="dxa"/>
            <w:vAlign w:val="bottom"/>
            <w:gridSpan w:val="4"/>
          </w:tcPr>
          <w:p>
            <w:pPr>
              <w:spacing w:after="0"/>
              <w:rPr>
                <w:sz w:val="20"/>
                <w:szCs w:val="20"/>
                <w:color w:val="auto"/>
              </w:rPr>
            </w:pPr>
            <w:r>
              <w:rPr>
                <w:rFonts w:ascii="Arial" w:cs="Arial" w:eastAsia="Arial" w:hAnsi="Arial"/>
                <w:sz w:val="14"/>
                <w:szCs w:val="14"/>
                <w:b w:val="1"/>
                <w:bCs w:val="1"/>
                <w:color w:val="auto"/>
              </w:rPr>
              <w:t>As of September 30, 2013</w:t>
            </w: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4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66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Money market and mutual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83"/>
              </w:rPr>
              <w:t>96,781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96,781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gridSpan w:val="4"/>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83"/>
              </w:rPr>
              <w:t>96,781</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97,384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19,764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19,764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 of December 31, 2012</w:t>
            </w: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240" w:type="dxa"/>
            <w:vAlign w:val="bottom"/>
            <w:gridSpan w:val="4"/>
            <w:vMerge w:val="continue"/>
          </w:tcPr>
          <w:p>
            <w:pPr>
              <w:spacing w:after="0"/>
              <w:rPr>
                <w:sz w:val="24"/>
                <w:szCs w:val="24"/>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672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Money market and mutual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83"/>
              </w:rPr>
              <w:t>64,766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64,766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gridSpan w:val="4"/>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83"/>
              </w:rPr>
              <w:t>64,766</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1,730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9,861</w:t>
            </w:r>
          </w:p>
        </w:tc>
        <w:tc>
          <w:tcPr>
            <w:tcW w:w="160" w:type="dxa"/>
            <w:vAlign w:val="bottom"/>
          </w:tcPr>
          <w:p>
            <w:pPr>
              <w:spacing w:after="0"/>
              <w:rPr>
                <w:sz w:val="18"/>
                <w:szCs w:val="18"/>
                <w:color w:val="auto"/>
              </w:rPr>
            </w:pPr>
          </w:p>
        </w:tc>
        <w:tc>
          <w:tcPr>
            <w:tcW w:w="4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derivative financial instruments consist of foreign currency forward exchange contracts. Fair values for derivative financial instruments are based on independent sources including highly rated financial institutions and are classified as Level 2. See Note 7 for further details on Derivatives and Hedge Accounting.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forward foreign exchange contracts that are designated effective and that qualify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No. 815). The Company also uses derivatives consisting of foreign currency exchange contracts not designated as hedging instruments under ASC No. 815 to hedge intercompany balances and other monetary assets or liabilities denominated in currencies other than the Company’s functional currency. The Company’s primary exchange rate exposure is with the Indian Rupee, U.K. pound sterling and the Philippine peso. The Company also has exposure in Czech koruna and other local currencies in which it operates.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had outstanding foreign exchange contracts totaling $262,454 and GBP 11,800 as of September 30, 2013 and totaling $221,255 and GBP 11,544 as of December 31, 2012. The Company estimates that approximately $11,430 of net derivative losses included in AOCI could be reclassified into earnings within the next twelve months based on exchange rates prevailing as of September 30, 2013. As of September 30, 2013, the maximum outstanding term of derivative instruments that hedge forecasted transactions was forty-five months.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evaluates the hedge effectiveness at the time a contract is entered into as well as on an ongoing basis. If during this time a contract is deemed ineffective, the change in the fair value is recorded in the unaudited consolidated statements of income and is included in foreign exchange loss. For hedging positions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during the three and nine months ended September 30, 2013 and 2012.</w:t>
      </w:r>
    </w:p>
    <w:p>
      <w:pPr>
        <w:spacing w:after="0" w:line="11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3"/>
              </w:rPr>
              <w:t>September 30,</w:t>
            </w:r>
          </w:p>
        </w:tc>
        <w:tc>
          <w:tcPr>
            <w:tcW w:w="3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4900" w:type="dxa"/>
            <w:vAlign w:val="bottom"/>
            <w:tcBorders>
              <w:bottom w:val="single" w:sz="8" w:color="CCEEFF"/>
            </w:tcBorders>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2013</w:t>
            </w: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3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00" w:type="dxa"/>
            <w:vAlign w:val="bottom"/>
          </w:tcPr>
          <w:p>
            <w:pPr>
              <w:jc w:val="center"/>
              <w:ind w:right="1352"/>
              <w:spacing w:after="0"/>
              <w:rPr>
                <w:sz w:val="20"/>
                <w:szCs w:val="20"/>
                <w:color w:val="auto"/>
              </w:rPr>
            </w:pPr>
            <w:r>
              <w:rPr>
                <w:rFonts w:ascii="Arial" w:cs="Arial" w:eastAsia="Arial" w:hAnsi="Arial"/>
                <w:sz w:val="18"/>
                <w:szCs w:val="18"/>
                <w:color w:val="auto"/>
                <w:w w:val="87"/>
              </w:rPr>
              <w:t>Foreign currency exchange contracts</w:t>
            </w:r>
          </w:p>
        </w:tc>
        <w:tc>
          <w:tcPr>
            <w:tcW w:w="4460" w:type="dxa"/>
            <w:vAlign w:val="bottom"/>
            <w:gridSpan w:val="3"/>
          </w:tcPr>
          <w:p>
            <w:pPr>
              <w:ind w:left="41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250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3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jc w:val="center"/>
              <w:ind w:right="1352"/>
              <w:spacing w:after="0"/>
              <w:rPr>
                <w:sz w:val="20"/>
                <w:szCs w:val="20"/>
                <w:color w:val="auto"/>
              </w:rPr>
            </w:pPr>
            <w:r>
              <w:rPr>
                <w:rFonts w:ascii="Arial" w:cs="Arial" w:eastAsia="Arial" w:hAnsi="Arial"/>
                <w:sz w:val="18"/>
                <w:szCs w:val="18"/>
                <w:color w:val="auto"/>
                <w:w w:val="87"/>
              </w:rPr>
              <w:t>Foreign currency exchange contracts</w:t>
            </w:r>
          </w:p>
        </w:tc>
        <w:tc>
          <w:tcPr>
            <w:tcW w:w="4460" w:type="dxa"/>
            <w:vAlign w:val="bottom"/>
            <w:gridSpan w:val="3"/>
          </w:tcPr>
          <w:p>
            <w:pPr>
              <w:ind w:left="41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181</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jc w:val="center"/>
              <w:ind w:right="1312"/>
              <w:spacing w:after="0"/>
              <w:rPr>
                <w:sz w:val="20"/>
                <w:szCs w:val="20"/>
                <w:color w:val="auto"/>
              </w:rPr>
            </w:pPr>
            <w:r>
              <w:rPr>
                <w:rFonts w:ascii="Arial" w:cs="Arial" w:eastAsia="Arial" w:hAnsi="Arial"/>
                <w:sz w:val="18"/>
                <w:szCs w:val="18"/>
                <w:b w:val="1"/>
                <w:bCs w:val="1"/>
                <w:color w:val="auto"/>
                <w:w w:val="87"/>
              </w:rPr>
              <w:t>Accrued expenses and other current liabilities:</w:t>
            </w:r>
          </w:p>
        </w:tc>
        <w:tc>
          <w:tcPr>
            <w:tcW w:w="3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jc w:val="center"/>
              <w:ind w:right="1352"/>
              <w:spacing w:after="0"/>
              <w:rPr>
                <w:sz w:val="20"/>
                <w:szCs w:val="20"/>
                <w:color w:val="auto"/>
              </w:rPr>
            </w:pPr>
            <w:r>
              <w:rPr>
                <w:rFonts w:ascii="Arial" w:cs="Arial" w:eastAsia="Arial" w:hAnsi="Arial"/>
                <w:sz w:val="18"/>
                <w:szCs w:val="18"/>
                <w:color w:val="auto"/>
                <w:w w:val="87"/>
              </w:rPr>
              <w:t>Foreign currency exchange contracts</w:t>
            </w:r>
          </w:p>
        </w:tc>
        <w:tc>
          <w:tcPr>
            <w:tcW w:w="4460" w:type="dxa"/>
            <w:vAlign w:val="bottom"/>
            <w:gridSpan w:val="3"/>
          </w:tcPr>
          <w:p>
            <w:pPr>
              <w:ind w:left="41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w w:val="94"/>
              </w:rPr>
              <w:t>11,680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 current liabilities:</w:t>
            </w:r>
          </w:p>
        </w:tc>
        <w:tc>
          <w:tcPr>
            <w:tcW w:w="3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900" w:type="dxa"/>
            <w:vAlign w:val="bottom"/>
          </w:tcPr>
          <w:p>
            <w:pPr>
              <w:jc w:val="center"/>
              <w:ind w:right="1352"/>
              <w:spacing w:after="0"/>
              <w:rPr>
                <w:sz w:val="20"/>
                <w:szCs w:val="20"/>
                <w:color w:val="auto"/>
              </w:rPr>
            </w:pPr>
            <w:r>
              <w:rPr>
                <w:rFonts w:ascii="Arial" w:cs="Arial" w:eastAsia="Arial" w:hAnsi="Arial"/>
                <w:sz w:val="18"/>
                <w:szCs w:val="18"/>
                <w:color w:val="auto"/>
                <w:w w:val="87"/>
              </w:rPr>
              <w:t>Foreign currency exchange contracts</w:t>
            </w:r>
          </w:p>
        </w:tc>
        <w:tc>
          <w:tcPr>
            <w:tcW w:w="4460" w:type="dxa"/>
            <w:vAlign w:val="bottom"/>
            <w:gridSpan w:val="3"/>
          </w:tcPr>
          <w:p>
            <w:pPr>
              <w:ind w:left="41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8,084</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19"/>
                <w:szCs w:val="19"/>
                <w:color w:val="auto"/>
              </w:rPr>
            </w:pPr>
          </w:p>
        </w:tc>
      </w:tr>
      <w:tr>
        <w:trPr>
          <w:trHeight w:val="451"/>
        </w:trPr>
        <w:tc>
          <w:tcPr>
            <w:tcW w:w="4900" w:type="dxa"/>
            <w:vAlign w:val="bottom"/>
          </w:tcPr>
          <w:p>
            <w:pPr>
              <w:ind w:left="460"/>
              <w:spacing w:after="0"/>
              <w:rPr>
                <w:sz w:val="20"/>
                <w:szCs w:val="20"/>
                <w:color w:val="auto"/>
              </w:rPr>
            </w:pPr>
            <w:r>
              <w:rPr>
                <w:rFonts w:ascii="Arial" w:cs="Arial" w:eastAsia="Arial" w:hAnsi="Arial"/>
                <w:sz w:val="18"/>
                <w:szCs w:val="18"/>
                <w:b w:val="1"/>
                <w:bCs w:val="1"/>
                <w:i w:val="1"/>
                <w:iCs w:val="1"/>
                <w:color w:val="auto"/>
                <w:w w:val="99"/>
              </w:rPr>
              <w:t>Derivatives not designated as hedging instruments:</w:t>
            </w:r>
          </w:p>
        </w:tc>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49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0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4900" w:type="dxa"/>
            <w:vAlign w:val="bottom"/>
          </w:tcPr>
          <w:p>
            <w:pPr>
              <w:spacing w:after="0"/>
              <w:rPr>
                <w:sz w:val="14"/>
                <w:szCs w:val="14"/>
                <w:color w:val="auto"/>
              </w:rPr>
            </w:pPr>
          </w:p>
        </w:tc>
        <w:tc>
          <w:tcPr>
            <w:tcW w:w="4460" w:type="dxa"/>
            <w:vAlign w:val="bottom"/>
            <w:gridSpan w:val="3"/>
          </w:tcPr>
          <w:p>
            <w:pPr>
              <w:ind w:left="4200"/>
              <w:spacing w:after="0"/>
              <w:rPr>
                <w:sz w:val="20"/>
                <w:szCs w:val="20"/>
                <w:color w:val="auto"/>
              </w:rPr>
            </w:pPr>
            <w:r>
              <w:rPr>
                <w:rFonts w:ascii="Arial" w:cs="Arial" w:eastAsia="Arial" w:hAnsi="Arial"/>
                <w:sz w:val="14"/>
                <w:szCs w:val="14"/>
                <w:b w:val="1"/>
                <w:bCs w:val="1"/>
                <w:color w:val="auto"/>
                <w:w w:val="76"/>
              </w:rPr>
              <w:t>2013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39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00" w:type="dxa"/>
            <w:vAlign w:val="bottom"/>
          </w:tcPr>
          <w:p>
            <w:pPr>
              <w:jc w:val="center"/>
              <w:ind w:right="1352"/>
              <w:spacing w:after="0"/>
              <w:rPr>
                <w:sz w:val="20"/>
                <w:szCs w:val="20"/>
                <w:color w:val="auto"/>
              </w:rPr>
            </w:pPr>
            <w:r>
              <w:rPr>
                <w:rFonts w:ascii="Arial" w:cs="Arial" w:eastAsia="Arial" w:hAnsi="Arial"/>
                <w:sz w:val="18"/>
                <w:szCs w:val="18"/>
                <w:color w:val="auto"/>
                <w:w w:val="87"/>
              </w:rPr>
              <w:t>Foreign currency exchange contracts</w:t>
            </w:r>
          </w:p>
        </w:tc>
        <w:tc>
          <w:tcPr>
            <w:tcW w:w="4180" w:type="dxa"/>
            <w:vAlign w:val="bottom"/>
            <w:gridSpan w:val="2"/>
          </w:tcPr>
          <w:p>
            <w:pPr>
              <w:ind w:left="39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172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shd w:val="clear" w:color="auto" w:fill="CCEEFF"/>
          </w:tcPr>
          <w:p>
            <w:pPr>
              <w:jc w:val="center"/>
              <w:ind w:right="1312"/>
              <w:spacing w:after="0"/>
              <w:rPr>
                <w:sz w:val="20"/>
                <w:szCs w:val="20"/>
                <w:color w:val="auto"/>
              </w:rPr>
            </w:pPr>
            <w:r>
              <w:rPr>
                <w:rFonts w:ascii="Arial" w:cs="Arial" w:eastAsia="Arial" w:hAnsi="Arial"/>
                <w:sz w:val="18"/>
                <w:szCs w:val="18"/>
                <w:b w:val="1"/>
                <w:bCs w:val="1"/>
                <w:color w:val="auto"/>
                <w:w w:val="87"/>
              </w:rPr>
              <w:t>Accrued expenses and other current liabilities:</w:t>
            </w:r>
          </w:p>
        </w:tc>
        <w:tc>
          <w:tcPr>
            <w:tcW w:w="3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900" w:type="dxa"/>
            <w:vAlign w:val="bottom"/>
          </w:tcPr>
          <w:p>
            <w:pPr>
              <w:jc w:val="center"/>
              <w:ind w:right="1352"/>
              <w:spacing w:after="0"/>
              <w:rPr>
                <w:sz w:val="20"/>
                <w:szCs w:val="20"/>
                <w:color w:val="auto"/>
              </w:rPr>
            </w:pPr>
            <w:r>
              <w:rPr>
                <w:rFonts w:ascii="Arial" w:cs="Arial" w:eastAsia="Arial" w:hAnsi="Arial"/>
                <w:sz w:val="18"/>
                <w:szCs w:val="18"/>
                <w:color w:val="auto"/>
                <w:w w:val="87"/>
              </w:rPr>
              <w:t>Foreign currency exchange contracts</w:t>
            </w:r>
          </w:p>
        </w:tc>
        <w:tc>
          <w:tcPr>
            <w:tcW w:w="4180" w:type="dxa"/>
            <w:vAlign w:val="bottom"/>
            <w:gridSpan w:val="2"/>
          </w:tcPr>
          <w:p>
            <w:pPr>
              <w:ind w:left="39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3"/>
          </w:tcPr>
          <w:p>
            <w:pPr>
              <w:jc w:val="right"/>
              <w:ind w:right="68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r>
      <w:tr>
        <w:trPr>
          <w:trHeight w:val="356"/>
        </w:trPr>
        <w:tc>
          <w:tcPr>
            <w:tcW w:w="4900" w:type="dxa"/>
            <w:vAlign w:val="bottom"/>
          </w:tcPr>
          <w:p>
            <w:pPr>
              <w:spacing w:after="0"/>
              <w:rPr>
                <w:sz w:val="24"/>
                <w:szCs w:val="24"/>
                <w:color w:val="auto"/>
              </w:rPr>
            </w:pPr>
          </w:p>
        </w:tc>
        <w:tc>
          <w:tcPr>
            <w:tcW w:w="3920" w:type="dxa"/>
            <w:vAlign w:val="bottom"/>
          </w:tcPr>
          <w:p>
            <w:pPr>
              <w:jc w:val="right"/>
              <w:ind w:right="2935"/>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September 30, 2013 and 2012:</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
        <w:spacing w:after="0" w:line="283" w:lineRule="auto"/>
        <w:rPr>
          <w:sz w:val="20"/>
          <w:szCs w:val="20"/>
          <w:color w:val="auto"/>
        </w:rPr>
      </w:pPr>
      <w:r>
        <w:rPr>
          <w:rFonts w:ascii="Arial" w:cs="Arial" w:eastAsia="Arial" w:hAnsi="Arial"/>
          <w:sz w:val="12"/>
          <w:szCs w:val="12"/>
          <w:b w:val="1"/>
          <w:bCs w:val="1"/>
          <w:color w:val="auto"/>
        </w:rPr>
        <w:t>Derivatives in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9690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Foreign exchange contracts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jc w:val="center"/>
        <w:ind w:left="-1399"/>
        <w:spacing w:after="0"/>
        <w:rPr>
          <w:sz w:val="20"/>
          <w:szCs w:val="20"/>
          <w:color w:val="auto"/>
        </w:rPr>
      </w:pPr>
      <w:r>
        <w:rPr>
          <w:rFonts w:ascii="Arial" w:cs="Arial" w:eastAsia="Arial" w:hAnsi="Arial"/>
          <w:sz w:val="14"/>
          <w:szCs w:val="14"/>
          <w:b w:val="1"/>
          <w:bCs w:val="1"/>
          <w:color w:val="auto"/>
        </w:rPr>
        <w:t>Amount of Gain/</w:t>
      </w:r>
    </w:p>
    <w:p>
      <w:pPr>
        <w:spacing w:after="0" w:line="2" w:lineRule="exact"/>
        <w:rPr>
          <w:sz w:val="20"/>
          <w:szCs w:val="20"/>
          <w:color w:val="auto"/>
        </w:rPr>
      </w:pPr>
    </w:p>
    <w:p>
      <w:pPr>
        <w:jc w:val="center"/>
        <w:ind w:left="-1399"/>
        <w:spacing w:after="0"/>
        <w:rPr>
          <w:sz w:val="20"/>
          <w:szCs w:val="20"/>
          <w:color w:val="auto"/>
        </w:rPr>
      </w:pPr>
      <w:r>
        <w:rPr>
          <w:rFonts w:ascii="Arial" w:cs="Arial" w:eastAsia="Arial" w:hAnsi="Arial"/>
          <w:sz w:val="12"/>
          <w:szCs w:val="12"/>
          <w:b w:val="1"/>
          <w:bCs w:val="1"/>
          <w:color w:val="auto"/>
        </w:rPr>
        <w:t>(Loss) Recognized in</w:t>
      </w:r>
    </w:p>
    <w:p>
      <w:pPr>
        <w:jc w:val="center"/>
        <w:ind w:left="-1399"/>
        <w:spacing w:after="0" w:line="237" w:lineRule="auto"/>
        <w:rPr>
          <w:sz w:val="20"/>
          <w:szCs w:val="20"/>
          <w:color w:val="auto"/>
        </w:rPr>
      </w:pPr>
      <w:r>
        <w:rPr>
          <w:rFonts w:ascii="Arial" w:cs="Arial" w:eastAsia="Arial" w:hAnsi="Arial"/>
          <w:sz w:val="14"/>
          <w:szCs w:val="14"/>
          <w:b w:val="1"/>
          <w:bCs w:val="1"/>
          <w:color w:val="auto"/>
        </w:rPr>
        <w:t>AOCI on Derivative</w:t>
      </w:r>
    </w:p>
    <w:p>
      <w:pPr>
        <w:jc w:val="center"/>
        <w:ind w:left="-1399"/>
        <w:spacing w:after="0"/>
        <w:rPr>
          <w:sz w:val="20"/>
          <w:szCs w:val="20"/>
          <w:color w:val="auto"/>
        </w:rPr>
      </w:pPr>
      <w:r>
        <w:rPr>
          <w:rFonts w:ascii="Arial" w:cs="Arial" w:eastAsia="Arial" w:hAnsi="Arial"/>
          <w:sz w:val="14"/>
          <w:szCs w:val="14"/>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-8255</wp:posOffset>
            </wp:positionV>
            <wp:extent cx="8407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ind w:left="1540"/>
        <w:spacing w:after="0"/>
        <w:tabs>
          <w:tab w:leader="none" w:pos="232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1" w:lineRule="exact"/>
        <w:rPr>
          <w:sz w:val="20"/>
          <w:szCs w:val="20"/>
          <w:color w:val="auto"/>
        </w:rPr>
      </w:pPr>
    </w:p>
    <w:p>
      <w:pPr>
        <w:jc w:val="right"/>
        <w:spacing w:after="0"/>
        <w:tabs>
          <w:tab w:leader="none" w:pos="1140" w:val="left"/>
          <w:tab w:leader="none" w:pos="500" w:val="left"/>
          <w:tab w:leader="none" w:pos="300" w:val="left"/>
        </w:tabs>
        <w:rPr>
          <w:sz w:val="20"/>
          <w:szCs w:val="20"/>
          <w:color w:val="auto"/>
        </w:rPr>
      </w:pPr>
      <w:r>
        <w:rPr>
          <w:rFonts w:ascii="Arial" w:cs="Arial" w:eastAsia="Arial" w:hAnsi="Arial"/>
          <w:sz w:val="14"/>
          <w:szCs w:val="14"/>
          <w:color w:val="auto"/>
        </w:rPr>
        <w:t>$</w:t>
        <w:tab/>
        <w:t>(6,210)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9,980</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Derivatives not designated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10293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Foreign exchange contracts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89"/>
              </w:rPr>
              <w:t>Amount of Gain/</w:t>
            </w:r>
          </w:p>
        </w:tc>
      </w:tr>
      <w:tr>
        <w:trPr>
          <w:trHeight w:val="149"/>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Location of Gain/</w:t>
            </w:r>
          </w:p>
        </w:tc>
        <w:tc>
          <w:tcPr>
            <w:tcW w:w="80" w:type="dxa"/>
            <w:vAlign w:val="bottom"/>
          </w:tcPr>
          <w:p>
            <w:pPr>
              <w:spacing w:after="0"/>
              <w:rPr>
                <w:sz w:val="12"/>
                <w:szCs w:val="12"/>
                <w:color w:val="auto"/>
              </w:rPr>
            </w:pPr>
          </w:p>
        </w:tc>
        <w:tc>
          <w:tcPr>
            <w:tcW w:w="138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(Loss) Recognized in</w:t>
            </w:r>
          </w:p>
        </w:tc>
      </w:tr>
      <w:tr>
        <w:trPr>
          <w:trHeight w:val="149"/>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8"/>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Amount of Gain/</w:t>
            </w:r>
          </w:p>
        </w:tc>
        <w:tc>
          <w:tcPr>
            <w:tcW w:w="16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80" w:type="dxa"/>
            <w:vAlign w:val="bottom"/>
          </w:tcPr>
          <w:p>
            <w:pPr>
              <w:spacing w:after="0"/>
              <w:rPr>
                <w:sz w:val="12"/>
                <w:szCs w:val="12"/>
                <w:color w:val="auto"/>
              </w:rPr>
            </w:pPr>
          </w:p>
        </w:tc>
        <w:tc>
          <w:tcPr>
            <w:tcW w:w="138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Income on Derivative</w:t>
            </w:r>
          </w:p>
        </w:tc>
      </w:tr>
      <w:tr>
        <w:trPr>
          <w:trHeight w:val="149"/>
        </w:trPr>
        <w:tc>
          <w:tcPr>
            <w:tcW w:w="166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Location of Gain/</w:t>
            </w:r>
          </w:p>
        </w:tc>
        <w:tc>
          <w:tcPr>
            <w:tcW w:w="1800" w:type="dxa"/>
            <w:vAlign w:val="bottom"/>
            <w:gridSpan w:val="8"/>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(Loss) Reclassified from</w:t>
            </w:r>
          </w:p>
        </w:tc>
        <w:tc>
          <w:tcPr>
            <w:tcW w:w="16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Income on Derivative</w:t>
            </w:r>
          </w:p>
        </w:tc>
        <w:tc>
          <w:tcPr>
            <w:tcW w:w="14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(Ineffective Portion and</w:t>
            </w:r>
          </w:p>
        </w:tc>
      </w:tr>
      <w:tr>
        <w:trPr>
          <w:trHeight w:val="149"/>
        </w:trPr>
        <w:tc>
          <w:tcPr>
            <w:tcW w:w="1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(Loss) Reclassified from</w:t>
            </w:r>
          </w:p>
        </w:tc>
        <w:tc>
          <w:tcPr>
            <w:tcW w:w="1800" w:type="dxa"/>
            <w:vAlign w:val="bottom"/>
            <w:gridSpan w:val="8"/>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16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(Ineffective Portion and</w:t>
            </w:r>
          </w:p>
        </w:tc>
        <w:tc>
          <w:tcPr>
            <w:tcW w:w="14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Amount Excluded from</w:t>
            </w:r>
          </w:p>
        </w:tc>
      </w:tr>
      <w:tr>
        <w:trPr>
          <w:trHeight w:val="161"/>
        </w:trPr>
        <w:tc>
          <w:tcPr>
            <w:tcW w:w="1660" w:type="dxa"/>
            <w:vAlign w:val="bottom"/>
            <w:gridSpan w:val="3"/>
          </w:tcPr>
          <w:p>
            <w:pPr>
              <w:ind w:left="160"/>
              <w:spacing w:after="0"/>
              <w:rPr>
                <w:sz w:val="20"/>
                <w:szCs w:val="20"/>
                <w:color w:val="auto"/>
              </w:rPr>
            </w:pPr>
            <w:r>
              <w:rPr>
                <w:rFonts w:ascii="Arial" w:cs="Arial" w:eastAsia="Arial" w:hAnsi="Arial"/>
                <w:sz w:val="14"/>
                <w:szCs w:val="14"/>
                <w:b w:val="1"/>
                <w:bCs w:val="1"/>
                <w:color w:val="auto"/>
              </w:rPr>
              <w:t>AOCI into Income</w:t>
            </w:r>
          </w:p>
        </w:tc>
        <w:tc>
          <w:tcPr>
            <w:tcW w:w="18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89"/>
              </w:rPr>
              <w:t>(Effective Portion)</w:t>
            </w:r>
          </w:p>
        </w:tc>
        <w:tc>
          <w:tcPr>
            <w:tcW w:w="16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Amount Excluded from</w:t>
            </w:r>
          </w:p>
        </w:tc>
        <w:tc>
          <w:tcPr>
            <w:tcW w:w="80" w:type="dxa"/>
            <w:vAlign w:val="bottom"/>
          </w:tcPr>
          <w:p>
            <w:pPr>
              <w:spacing w:after="0"/>
              <w:rPr>
                <w:sz w:val="14"/>
                <w:szCs w:val="14"/>
                <w:color w:val="auto"/>
              </w:rPr>
            </w:pPr>
          </w:p>
        </w:tc>
        <w:tc>
          <w:tcPr>
            <w:tcW w:w="138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84"/>
              </w:rPr>
              <w:t>Effectiveness Testing)</w:t>
            </w:r>
          </w:p>
        </w:tc>
      </w:tr>
      <w:tr>
        <w:trPr>
          <w:trHeight w:val="142"/>
        </w:trPr>
        <w:tc>
          <w:tcPr>
            <w:tcW w:w="166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(Effective Portion)</w:t>
            </w:r>
          </w:p>
        </w:tc>
        <w:tc>
          <w:tcPr>
            <w:tcW w:w="6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4"/>
          </w:tcPr>
          <w:p>
            <w:pPr>
              <w:jc w:val="center"/>
              <w:ind w:right="260"/>
              <w:spacing w:after="0" w:line="142" w:lineRule="exact"/>
              <w:rPr>
                <w:sz w:val="20"/>
                <w:szCs w:val="20"/>
                <w:color w:val="auto"/>
              </w:rPr>
            </w:pPr>
            <w:r>
              <w:rPr>
                <w:rFonts w:ascii="Arial" w:cs="Arial" w:eastAsia="Arial" w:hAnsi="Arial"/>
                <w:sz w:val="14"/>
                <w:szCs w:val="14"/>
                <w:b w:val="1"/>
                <w:bCs w:val="1"/>
                <w:color w:val="auto"/>
                <w:w w:val="83"/>
              </w:rPr>
              <w:t>Effectiveness Testing)</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2012</w:t>
            </w:r>
          </w:p>
        </w:tc>
      </w:tr>
      <w:tr>
        <w:trPr>
          <w:trHeight w:val="166"/>
        </w:trPr>
        <w:tc>
          <w:tcPr>
            <w:tcW w:w="14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color w:val="auto"/>
                <w:w w:val="83"/>
              </w:rPr>
              <w:t>Foreign exchange loss</w:t>
            </w:r>
          </w:p>
        </w:tc>
        <w:tc>
          <w:tcPr>
            <w:tcW w:w="260" w:type="dxa"/>
            <w:vAlign w:val="bottom"/>
          </w:tcPr>
          <w:p>
            <w:pPr>
              <w:spacing w:after="0"/>
              <w:rPr>
                <w:sz w:val="14"/>
                <w:szCs w:val="14"/>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90"/>
              </w:rPr>
              <w:t>$   (1,332)</w:t>
            </w:r>
          </w:p>
        </w:tc>
        <w:tc>
          <w:tcPr>
            <w:tcW w:w="2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color w:val="auto"/>
                <w:w w:val="85"/>
              </w:rPr>
              <w:t>Foreign exchange loss</w:t>
            </w:r>
          </w:p>
        </w:tc>
        <w:tc>
          <w:tcPr>
            <w:tcW w:w="24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w:t>
            </w:r>
          </w:p>
        </w:tc>
      </w:tr>
      <w:tr>
        <w:trPr>
          <w:trHeight w:val="315"/>
        </w:trPr>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89"/>
              </w:rPr>
              <w:t>Amount of Gain/</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49"/>
        </w:trPr>
        <w:tc>
          <w:tcPr>
            <w:tcW w:w="660" w:type="dxa"/>
            <w:vAlign w:val="bottom"/>
          </w:tcPr>
          <w:p>
            <w:pPr>
              <w:spacing w:after="0"/>
              <w:rPr>
                <w:sz w:val="12"/>
                <w:szCs w:val="12"/>
                <w:color w:val="auto"/>
              </w:rPr>
            </w:pPr>
          </w:p>
        </w:tc>
        <w:tc>
          <w:tcPr>
            <w:tcW w:w="188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Location of Gain/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7"/>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(Loss) Recognized in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61"/>
        </w:trPr>
        <w:tc>
          <w:tcPr>
            <w:tcW w:w="660" w:type="dxa"/>
            <w:vAlign w:val="bottom"/>
          </w:tcPr>
          <w:p>
            <w:pPr>
              <w:spacing w:after="0"/>
              <w:rPr>
                <w:sz w:val="14"/>
                <w:szCs w:val="14"/>
                <w:color w:val="auto"/>
              </w:rPr>
            </w:pPr>
          </w:p>
        </w:tc>
        <w:tc>
          <w:tcPr>
            <w:tcW w:w="18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5"/>
              </w:rPr>
              <w:t>(Loss) Recognized in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0"/>
              </w:rPr>
              <w:t>Income on Derivatives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42"/>
        </w:trPr>
        <w:tc>
          <w:tcPr>
            <w:tcW w:w="254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86"/>
              </w:rPr>
              <w:t>Income on Derivatives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66"/>
        </w:trPr>
        <w:tc>
          <w:tcPr>
            <w:tcW w:w="660" w:type="dxa"/>
            <w:vAlign w:val="bottom"/>
          </w:tcPr>
          <w:p>
            <w:pPr>
              <w:spacing w:after="0"/>
              <w:rPr>
                <w:sz w:val="14"/>
                <w:szCs w:val="14"/>
                <w:color w:val="auto"/>
              </w:rPr>
            </w:pPr>
          </w:p>
        </w:tc>
        <w:tc>
          <w:tcPr>
            <w:tcW w:w="13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color w:val="auto"/>
                <w:w w:val="85"/>
              </w:rPr>
              <w:t>Foreign exchange loss</w:t>
            </w:r>
          </w:p>
        </w:tc>
        <w:tc>
          <w:tcPr>
            <w:tcW w:w="5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86"/>
              </w:rPr>
              <w:t>$  (2,169)</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  2,623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-734695</wp:posOffset>
            </wp:positionV>
            <wp:extent cx="724662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-117475</wp:posOffset>
            </wp:positionV>
            <wp:extent cx="492252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2520" cy="10287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3">
            <w:col w:w="1500" w:space="340"/>
            <w:col w:w="2740" w:space="240"/>
            <w:col w:w="6540"/>
          </w:cols>
          <w:pgMar w:left="240" w:top="459" w:right="299" w:bottom="1440" w:gutter="0" w:footer="0" w:header="0"/>
          <w:type w:val="continuous"/>
        </w:sectPr>
      </w:pPr>
    </w:p>
    <w:p>
      <w:pPr>
        <w:ind w:right="24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nine months ended September 30, 2013 and 2012:</w:t>
      </w:r>
    </w:p>
    <w:p>
      <w:pPr>
        <w:sectPr>
          <w:pgSz w:w="11900" w:h="16838" w:orient="portrait"/>
          <w:cols w:equalWidth="0" w:num="1">
            <w:col w:w="11360"/>
          </w:cols>
          <w:pgMar w:left="240" w:top="459"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
        <w:spacing w:after="0" w:line="283" w:lineRule="auto"/>
        <w:rPr>
          <w:sz w:val="20"/>
          <w:szCs w:val="20"/>
          <w:color w:val="auto"/>
        </w:rPr>
      </w:pPr>
      <w:r>
        <w:rPr>
          <w:rFonts w:ascii="Arial" w:cs="Arial" w:eastAsia="Arial" w:hAnsi="Arial"/>
          <w:sz w:val="12"/>
          <w:szCs w:val="12"/>
          <w:b w:val="1"/>
          <w:bCs w:val="1"/>
          <w:color w:val="auto"/>
        </w:rPr>
        <w:t>Derivatives in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9690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Foreign exchange contracts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jc w:val="center"/>
        <w:ind w:left="-1399"/>
        <w:spacing w:after="0"/>
        <w:rPr>
          <w:sz w:val="20"/>
          <w:szCs w:val="20"/>
          <w:color w:val="auto"/>
        </w:rPr>
      </w:pPr>
      <w:r>
        <w:rPr>
          <w:rFonts w:ascii="Arial" w:cs="Arial" w:eastAsia="Arial" w:hAnsi="Arial"/>
          <w:sz w:val="14"/>
          <w:szCs w:val="14"/>
          <w:b w:val="1"/>
          <w:bCs w:val="1"/>
          <w:color w:val="auto"/>
        </w:rPr>
        <w:t>Amount of Gain/</w:t>
      </w:r>
    </w:p>
    <w:p>
      <w:pPr>
        <w:spacing w:after="0" w:line="2" w:lineRule="exact"/>
        <w:rPr>
          <w:sz w:val="20"/>
          <w:szCs w:val="20"/>
          <w:color w:val="auto"/>
        </w:rPr>
      </w:pPr>
    </w:p>
    <w:p>
      <w:pPr>
        <w:jc w:val="center"/>
        <w:ind w:left="-1399"/>
        <w:spacing w:after="0"/>
        <w:rPr>
          <w:sz w:val="20"/>
          <w:szCs w:val="20"/>
          <w:color w:val="auto"/>
        </w:rPr>
      </w:pPr>
      <w:r>
        <w:rPr>
          <w:rFonts w:ascii="Arial" w:cs="Arial" w:eastAsia="Arial" w:hAnsi="Arial"/>
          <w:sz w:val="12"/>
          <w:szCs w:val="12"/>
          <w:b w:val="1"/>
          <w:bCs w:val="1"/>
          <w:color w:val="auto"/>
        </w:rPr>
        <w:t>(Loss) Recognized in</w:t>
      </w:r>
    </w:p>
    <w:p>
      <w:pPr>
        <w:jc w:val="center"/>
        <w:ind w:left="-1399"/>
        <w:spacing w:after="0" w:line="237" w:lineRule="auto"/>
        <w:rPr>
          <w:sz w:val="20"/>
          <w:szCs w:val="20"/>
          <w:color w:val="auto"/>
        </w:rPr>
      </w:pPr>
      <w:r>
        <w:rPr>
          <w:rFonts w:ascii="Arial" w:cs="Arial" w:eastAsia="Arial" w:hAnsi="Arial"/>
          <w:sz w:val="14"/>
          <w:szCs w:val="14"/>
          <w:b w:val="1"/>
          <w:bCs w:val="1"/>
          <w:color w:val="auto"/>
        </w:rPr>
        <w:t>AOCI on Derivative</w:t>
      </w:r>
    </w:p>
    <w:p>
      <w:pPr>
        <w:jc w:val="center"/>
        <w:ind w:left="-1399"/>
        <w:spacing w:after="0"/>
        <w:rPr>
          <w:sz w:val="20"/>
          <w:szCs w:val="20"/>
          <w:color w:val="auto"/>
        </w:rPr>
      </w:pPr>
      <w:r>
        <w:rPr>
          <w:rFonts w:ascii="Arial" w:cs="Arial" w:eastAsia="Arial" w:hAnsi="Arial"/>
          <w:sz w:val="14"/>
          <w:szCs w:val="14"/>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-8255</wp:posOffset>
            </wp:positionV>
            <wp:extent cx="8489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ind w:left="1560"/>
        <w:spacing w:after="0"/>
        <w:tabs>
          <w:tab w:leader="none" w:pos="234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1" w:lineRule="exact"/>
        <w:rPr>
          <w:sz w:val="20"/>
          <w:szCs w:val="20"/>
          <w:color w:val="auto"/>
        </w:rPr>
      </w:pPr>
    </w:p>
    <w:p>
      <w:pPr>
        <w:jc w:val="right"/>
        <w:spacing w:after="0"/>
        <w:tabs>
          <w:tab w:leader="none" w:pos="480" w:val="left"/>
          <w:tab w:leader="none" w:pos="300" w:val="left"/>
        </w:tabs>
        <w:rPr>
          <w:sz w:val="20"/>
          <w:szCs w:val="20"/>
          <w:color w:val="auto"/>
        </w:rPr>
      </w:pPr>
      <w:r>
        <w:rPr>
          <w:rFonts w:ascii="Arial" w:cs="Arial" w:eastAsia="Arial" w:hAnsi="Arial"/>
          <w:sz w:val="14"/>
          <w:szCs w:val="14"/>
          <w:color w:val="auto"/>
        </w:rPr>
        <w:t>$  (15,186)</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4,859</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Derivatives not designated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10293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Foreign exchange contracts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89"/>
              </w:rPr>
              <w:t>Amount of Gain/</w:t>
            </w:r>
          </w:p>
        </w:tc>
      </w:tr>
      <w:tr>
        <w:trPr>
          <w:trHeight w:val="149"/>
        </w:trPr>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Location of Gain/</w:t>
            </w:r>
          </w:p>
        </w:tc>
        <w:tc>
          <w:tcPr>
            <w:tcW w:w="80" w:type="dxa"/>
            <w:vAlign w:val="bottom"/>
          </w:tcPr>
          <w:p>
            <w:pPr>
              <w:spacing w:after="0"/>
              <w:rPr>
                <w:sz w:val="12"/>
                <w:szCs w:val="12"/>
                <w:color w:val="auto"/>
              </w:rPr>
            </w:pPr>
          </w:p>
        </w:tc>
        <w:tc>
          <w:tcPr>
            <w:tcW w:w="138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(Loss) Recognized in</w:t>
            </w:r>
          </w:p>
        </w:tc>
      </w:tr>
      <w:tr>
        <w:trPr>
          <w:trHeight w:val="149"/>
        </w:trPr>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8"/>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Amount of Gain/</w:t>
            </w:r>
          </w:p>
        </w:tc>
        <w:tc>
          <w:tcPr>
            <w:tcW w:w="16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80" w:type="dxa"/>
            <w:vAlign w:val="bottom"/>
          </w:tcPr>
          <w:p>
            <w:pPr>
              <w:spacing w:after="0"/>
              <w:rPr>
                <w:sz w:val="12"/>
                <w:szCs w:val="12"/>
                <w:color w:val="auto"/>
              </w:rPr>
            </w:pPr>
          </w:p>
        </w:tc>
        <w:tc>
          <w:tcPr>
            <w:tcW w:w="138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Income on Derivative</w:t>
            </w:r>
          </w:p>
        </w:tc>
      </w:tr>
      <w:tr>
        <w:trPr>
          <w:trHeight w:val="149"/>
        </w:trPr>
        <w:tc>
          <w:tcPr>
            <w:tcW w:w="166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Location of Gain/</w:t>
            </w:r>
          </w:p>
        </w:tc>
        <w:tc>
          <w:tcPr>
            <w:tcW w:w="1800" w:type="dxa"/>
            <w:vAlign w:val="bottom"/>
            <w:gridSpan w:val="8"/>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(Loss) Reclassified from</w:t>
            </w:r>
          </w:p>
        </w:tc>
        <w:tc>
          <w:tcPr>
            <w:tcW w:w="16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Income on Derivative</w:t>
            </w:r>
          </w:p>
        </w:tc>
        <w:tc>
          <w:tcPr>
            <w:tcW w:w="14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(Ineffective Portion and</w:t>
            </w:r>
          </w:p>
        </w:tc>
      </w:tr>
      <w:tr>
        <w:trPr>
          <w:trHeight w:val="149"/>
        </w:trPr>
        <w:tc>
          <w:tcPr>
            <w:tcW w:w="1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(Loss) Reclassified from</w:t>
            </w:r>
          </w:p>
        </w:tc>
        <w:tc>
          <w:tcPr>
            <w:tcW w:w="1800" w:type="dxa"/>
            <w:vAlign w:val="bottom"/>
            <w:gridSpan w:val="8"/>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16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(Ineffective Portion and</w:t>
            </w:r>
          </w:p>
        </w:tc>
        <w:tc>
          <w:tcPr>
            <w:tcW w:w="14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Amount Excluded from</w:t>
            </w:r>
          </w:p>
        </w:tc>
      </w:tr>
      <w:tr>
        <w:trPr>
          <w:trHeight w:val="161"/>
        </w:trPr>
        <w:tc>
          <w:tcPr>
            <w:tcW w:w="1660" w:type="dxa"/>
            <w:vAlign w:val="bottom"/>
            <w:gridSpan w:val="3"/>
          </w:tcPr>
          <w:p>
            <w:pPr>
              <w:ind w:left="160"/>
              <w:spacing w:after="0"/>
              <w:rPr>
                <w:sz w:val="20"/>
                <w:szCs w:val="20"/>
                <w:color w:val="auto"/>
              </w:rPr>
            </w:pPr>
            <w:r>
              <w:rPr>
                <w:rFonts w:ascii="Arial" w:cs="Arial" w:eastAsia="Arial" w:hAnsi="Arial"/>
                <w:sz w:val="14"/>
                <w:szCs w:val="14"/>
                <w:b w:val="1"/>
                <w:bCs w:val="1"/>
                <w:color w:val="auto"/>
              </w:rPr>
              <w:t>AOCI into Income</w:t>
            </w:r>
          </w:p>
        </w:tc>
        <w:tc>
          <w:tcPr>
            <w:tcW w:w="18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89"/>
              </w:rPr>
              <w:t>(Effective Portion)</w:t>
            </w:r>
          </w:p>
        </w:tc>
        <w:tc>
          <w:tcPr>
            <w:tcW w:w="16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Amount Excluded from</w:t>
            </w:r>
          </w:p>
        </w:tc>
        <w:tc>
          <w:tcPr>
            <w:tcW w:w="80" w:type="dxa"/>
            <w:vAlign w:val="bottom"/>
          </w:tcPr>
          <w:p>
            <w:pPr>
              <w:spacing w:after="0"/>
              <w:rPr>
                <w:sz w:val="14"/>
                <w:szCs w:val="14"/>
                <w:color w:val="auto"/>
              </w:rPr>
            </w:pPr>
          </w:p>
        </w:tc>
        <w:tc>
          <w:tcPr>
            <w:tcW w:w="138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84"/>
              </w:rPr>
              <w:t>Effectiveness Testing)</w:t>
            </w:r>
          </w:p>
        </w:tc>
      </w:tr>
      <w:tr>
        <w:trPr>
          <w:trHeight w:val="142"/>
        </w:trPr>
        <w:tc>
          <w:tcPr>
            <w:tcW w:w="166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(Effective Portion)</w:t>
            </w:r>
          </w:p>
        </w:tc>
        <w:tc>
          <w:tcPr>
            <w:tcW w:w="6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jc w:val="center"/>
              <w:ind w:right="260"/>
              <w:spacing w:after="0" w:line="142" w:lineRule="exact"/>
              <w:rPr>
                <w:sz w:val="20"/>
                <w:szCs w:val="20"/>
                <w:color w:val="auto"/>
              </w:rPr>
            </w:pPr>
            <w:r>
              <w:rPr>
                <w:rFonts w:ascii="Arial" w:cs="Arial" w:eastAsia="Arial" w:hAnsi="Arial"/>
                <w:sz w:val="14"/>
                <w:szCs w:val="14"/>
                <w:b w:val="1"/>
                <w:bCs w:val="1"/>
                <w:color w:val="auto"/>
                <w:w w:val="83"/>
              </w:rPr>
              <w:t>Effectiveness Testing)</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2012</w:t>
            </w:r>
          </w:p>
        </w:tc>
      </w:tr>
      <w:tr>
        <w:trPr>
          <w:trHeight w:val="166"/>
        </w:trPr>
        <w:tc>
          <w:tcPr>
            <w:tcW w:w="14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color w:val="auto"/>
                <w:w w:val="83"/>
              </w:rPr>
              <w:t>Foreign exchange loss</w:t>
            </w:r>
          </w:p>
        </w:tc>
        <w:tc>
          <w:tcPr>
            <w:tcW w:w="260" w:type="dxa"/>
            <w:vAlign w:val="bottom"/>
          </w:tcPr>
          <w:p>
            <w:pPr>
              <w:spacing w:after="0"/>
              <w:rPr>
                <w:sz w:val="14"/>
                <w:szCs w:val="14"/>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90"/>
              </w:rPr>
              <w:t>$   (3,830)</w:t>
            </w:r>
          </w:p>
        </w:tc>
        <w:tc>
          <w:tcPr>
            <w:tcW w:w="2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color w:val="auto"/>
                <w:w w:val="72"/>
              </w:rPr>
              <w:t>(7,281)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color w:val="auto"/>
                <w:w w:val="85"/>
              </w:rPr>
              <w:t>Foreign exchange loss</w:t>
            </w:r>
          </w:p>
        </w:tc>
        <w:tc>
          <w:tcPr>
            <w:tcW w:w="24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w:t>
            </w:r>
          </w:p>
        </w:tc>
      </w:tr>
      <w:tr>
        <w:trPr>
          <w:trHeight w:val="315"/>
        </w:trPr>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89"/>
              </w:rPr>
              <w:t>Amount of Gain/</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49"/>
        </w:trPr>
        <w:tc>
          <w:tcPr>
            <w:tcW w:w="780" w:type="dxa"/>
            <w:vAlign w:val="bottom"/>
          </w:tcPr>
          <w:p>
            <w:pPr>
              <w:spacing w:after="0"/>
              <w:rPr>
                <w:sz w:val="12"/>
                <w:szCs w:val="12"/>
                <w:color w:val="auto"/>
              </w:rPr>
            </w:pPr>
          </w:p>
        </w:tc>
        <w:tc>
          <w:tcPr>
            <w:tcW w:w="176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Location of Gain/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7"/>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(Loss) Recognized in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61"/>
        </w:trPr>
        <w:tc>
          <w:tcPr>
            <w:tcW w:w="780" w:type="dxa"/>
            <w:vAlign w:val="bottom"/>
          </w:tcPr>
          <w:p>
            <w:pPr>
              <w:spacing w:after="0"/>
              <w:rPr>
                <w:sz w:val="14"/>
                <w:szCs w:val="14"/>
                <w:color w:val="auto"/>
              </w:rPr>
            </w:pPr>
          </w:p>
        </w:tc>
        <w:tc>
          <w:tcPr>
            <w:tcW w:w="17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5"/>
              </w:rPr>
              <w:t>(Loss) Recognized in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6"/>
              </w:rPr>
              <w:t>Income on Derivatives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42"/>
        </w:trPr>
        <w:tc>
          <w:tcPr>
            <w:tcW w:w="2540" w:type="dxa"/>
            <w:vAlign w:val="bottom"/>
            <w:gridSpan w:val="6"/>
          </w:tcPr>
          <w:p>
            <w:pPr>
              <w:jc w:val="center"/>
              <w:ind w:left="232"/>
              <w:spacing w:after="0" w:line="142" w:lineRule="exact"/>
              <w:rPr>
                <w:sz w:val="20"/>
                <w:szCs w:val="20"/>
                <w:color w:val="auto"/>
              </w:rPr>
            </w:pPr>
            <w:r>
              <w:rPr>
                <w:rFonts w:ascii="Arial" w:cs="Arial" w:eastAsia="Arial" w:hAnsi="Arial"/>
                <w:sz w:val="14"/>
                <w:szCs w:val="14"/>
                <w:b w:val="1"/>
                <w:bCs w:val="1"/>
                <w:color w:val="auto"/>
                <w:w w:val="86"/>
              </w:rPr>
              <w:t>Income on Derivatives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66"/>
        </w:trPr>
        <w:tc>
          <w:tcPr>
            <w:tcW w:w="780" w:type="dxa"/>
            <w:vAlign w:val="bottom"/>
          </w:tcPr>
          <w:p>
            <w:pPr>
              <w:spacing w:after="0"/>
              <w:rPr>
                <w:sz w:val="14"/>
                <w:szCs w:val="14"/>
                <w:color w:val="auto"/>
              </w:rPr>
            </w:pPr>
          </w:p>
        </w:tc>
        <w:tc>
          <w:tcPr>
            <w:tcW w:w="13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color w:val="auto"/>
                <w:w w:val="85"/>
              </w:rPr>
              <w:t>Foreign exchange loss</w:t>
            </w:r>
          </w:p>
        </w:tc>
        <w:tc>
          <w:tcPr>
            <w:tcW w:w="4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w w:val="90"/>
              </w:rPr>
              <w:t>$  (4,708)</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5"/>
              </w:rPr>
              <w:t>$   2,925</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-734695</wp:posOffset>
            </wp:positionV>
            <wp:extent cx="724662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-117475</wp:posOffset>
            </wp:positionV>
            <wp:extent cx="492252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2520" cy="102870"/>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3">
            <w:col w:w="1500" w:space="340"/>
            <w:col w:w="2740" w:space="240"/>
            <w:col w:w="6540"/>
          </w:cols>
          <w:pgMar w:left="240" w:top="459"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60"/>
          </w:cols>
          <w:pgMar w:left="240" w:top="459" w:right="2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fixed assets, net of accumulated depreciation,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9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9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(Recasted)</w:t>
            </w:r>
          </w:p>
        </w:tc>
        <w:tc>
          <w:tcPr>
            <w:tcW w:w="100" w:type="dxa"/>
            <w:vAlign w:val="bottom"/>
          </w:tcPr>
          <w:p>
            <w:pPr>
              <w:spacing w:after="0"/>
              <w:rPr>
                <w:sz w:val="12"/>
                <w:szCs w:val="12"/>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Owned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Network equipment, computers and software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61,872</w:t>
            </w:r>
          </w:p>
        </w:tc>
        <w:tc>
          <w:tcPr>
            <w:tcW w:w="6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62,580</w:t>
            </w: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Buildings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23,919</w:t>
            </w: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Office furniture and equipment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10,247</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10,695</w:t>
            </w: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Motor vehicles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r>
      <w:tr>
        <w:trPr>
          <w:trHeight w:val="223"/>
        </w:trPr>
        <w:tc>
          <w:tcPr>
            <w:tcW w:w="9060" w:type="dxa"/>
            <w:vAlign w:val="bottom"/>
          </w:tcPr>
          <w:p>
            <w:pPr>
              <w:ind w:left="440"/>
              <w:spacing w:after="0"/>
              <w:rPr>
                <w:sz w:val="20"/>
                <w:szCs w:val="20"/>
                <w:color w:val="auto"/>
              </w:rPr>
            </w:pPr>
            <w:r>
              <w:rPr>
                <w:rFonts w:ascii="Arial" w:cs="Arial" w:eastAsia="Arial" w:hAnsi="Arial"/>
                <w:sz w:val="18"/>
                <w:szCs w:val="18"/>
                <w:color w:val="auto"/>
              </w:rPr>
              <w:t>Capital work in progress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101,932</w:t>
            </w:r>
          </w:p>
        </w:tc>
      </w:tr>
      <w:tr>
        <w:trPr>
          <w:trHeight w:val="223"/>
        </w:trPr>
        <w:tc>
          <w:tcPr>
            <w:tcW w:w="906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(68,290)</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(65,581)</w:t>
            </w:r>
          </w:p>
        </w:tc>
      </w:tr>
      <w:tr>
        <w:trPr>
          <w:trHeight w:val="216"/>
        </w:trPr>
        <w:tc>
          <w:tcPr>
            <w:tcW w:w="90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30,092</w:t>
            </w: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36,351</w:t>
            </w:r>
          </w:p>
        </w:tc>
        <w:tc>
          <w:tcPr>
            <w:tcW w:w="100" w:type="dxa"/>
            <w:vAlign w:val="bottom"/>
            <w:shd w:val="clear" w:color="auto" w:fill="CCEEFF"/>
          </w:tcPr>
          <w:p>
            <w:pPr>
              <w:spacing w:after="0"/>
              <w:rPr>
                <w:sz w:val="18"/>
                <w:szCs w:val="18"/>
                <w:color w:val="auto"/>
              </w:rPr>
            </w:pPr>
          </w:p>
        </w:tc>
      </w:tr>
      <w:tr>
        <w:trPr>
          <w:trHeight w:val="222"/>
        </w:trPr>
        <w:tc>
          <w:tcPr>
            <w:tcW w:w="9060" w:type="dxa"/>
            <w:vAlign w:val="bottom"/>
          </w:tcPr>
          <w:p>
            <w:pPr>
              <w:spacing w:after="0"/>
              <w:rPr>
                <w:sz w:val="20"/>
                <w:szCs w:val="20"/>
                <w:color w:val="auto"/>
              </w:rPr>
            </w:pPr>
            <w:r>
              <w:rPr>
                <w:rFonts w:ascii="Arial" w:cs="Arial" w:eastAsia="Arial" w:hAnsi="Arial"/>
                <w:sz w:val="18"/>
                <w:szCs w:val="18"/>
                <w:b w:val="1"/>
                <w:bCs w:val="1"/>
                <w:color w:val="auto"/>
              </w:rPr>
              <w:t>Assets under capital leases: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Network equipment, computers and software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1,929</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2,454</w:t>
            </w: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Office furniture and equipment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w:t>
            </w:r>
          </w:p>
        </w:tc>
      </w:tr>
      <w:tr>
        <w:trPr>
          <w:trHeight w:val="223"/>
        </w:trPr>
        <w:tc>
          <w:tcPr>
            <w:tcW w:w="9060" w:type="dxa"/>
            <w:vAlign w:val="bottom"/>
          </w:tcPr>
          <w:p>
            <w:pPr>
              <w:ind w:left="440"/>
              <w:spacing w:after="0"/>
              <w:rPr>
                <w:sz w:val="20"/>
                <w:szCs w:val="20"/>
                <w:color w:val="auto"/>
              </w:rPr>
            </w:pPr>
            <w:r>
              <w:rPr>
                <w:rFonts w:ascii="Arial" w:cs="Arial" w:eastAsia="Arial" w:hAnsi="Arial"/>
                <w:sz w:val="18"/>
                <w:szCs w:val="18"/>
                <w:color w:val="auto"/>
              </w:rPr>
              <w:t>Motor vehicles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5,201</w:t>
            </w:r>
          </w:p>
        </w:tc>
      </w:tr>
      <w:tr>
        <w:trPr>
          <w:trHeight w:val="223"/>
        </w:trPr>
        <w:tc>
          <w:tcPr>
            <w:tcW w:w="906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(2,328)</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(2,196)</w:t>
            </w:r>
          </w:p>
        </w:tc>
      </w:tr>
      <w:tr>
        <w:trPr>
          <w:trHeight w:val="216"/>
        </w:trPr>
        <w:tc>
          <w:tcPr>
            <w:tcW w:w="90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00" w:type="dxa"/>
            <w:vAlign w:val="bottom"/>
            <w:shd w:val="clear" w:color="auto" w:fill="CCEEFF"/>
          </w:tcPr>
          <w:p>
            <w:pPr>
              <w:spacing w:after="0"/>
              <w:rPr>
                <w:sz w:val="18"/>
                <w:szCs w:val="18"/>
                <w:color w:val="auto"/>
              </w:rPr>
            </w:pPr>
          </w:p>
        </w:tc>
      </w:tr>
      <w:tr>
        <w:trPr>
          <w:trHeight w:val="222"/>
        </w:trPr>
        <w:tc>
          <w:tcPr>
            <w:tcW w:w="9060" w:type="dxa"/>
            <w:vAlign w:val="bottom"/>
          </w:tcPr>
          <w:p>
            <w:pPr>
              <w:ind w:left="440"/>
              <w:spacing w:after="0"/>
              <w:rPr>
                <w:sz w:val="20"/>
                <w:szCs w:val="20"/>
                <w:color w:val="auto"/>
              </w:rPr>
            </w:pPr>
            <w:r>
              <w:rPr>
                <w:rFonts w:ascii="Arial" w:cs="Arial" w:eastAsia="Arial" w:hAnsi="Arial"/>
                <w:sz w:val="18"/>
                <w:szCs w:val="18"/>
                <w:color w:val="auto"/>
              </w:rPr>
              <w:t>Fixed assets, net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31,690</w:t>
            </w:r>
          </w:p>
        </w:tc>
        <w:tc>
          <w:tcPr>
            <w:tcW w:w="6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39,356</w:t>
            </w:r>
          </w:p>
        </w:tc>
      </w:tr>
      <w:tr>
        <w:trPr>
          <w:trHeight w:val="20"/>
        </w:trPr>
        <w:tc>
          <w:tcPr>
            <w:tcW w:w="9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Depreciation and amortization expense excluding amortization of acquisition-related intangibles for the three months ended September 30, 2013 and 2012 was $4,435 and $5,009, respectively, and $14,079 and $14,649 for the nine months ended September 30, 2013 and 2012,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work in progress represents advances paid toward acquisitions of fixed assets and the cost of fixed assets not yet ready to be placed in service.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 outstanding.</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During the three months ended September 30, 2013, the Company did not acquire any shares of common stock from employees in connection with withholding tax payments related to the vesting of restricted stock. During the nine months ended September 30, 2013, the Company acquired 13,018 shares of common stock from employees in connection with withholding tax payments related to the vesting of restricted stock for a total consideration of $389. The purchase price of $29.89 per share was the average of the high and low price of the Company’s shares of common stock on the Nasdaq Global Select Market on the trading day prior to the vesting date of the shares of restricted stock.</w:t>
      </w:r>
    </w:p>
    <w:p>
      <w:pPr>
        <w:spacing w:after="0" w:line="1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During the three months ended September 30, 2012, the Company did not acquire any shares of common stock from employees in connection with withholding tax payments related to the vesting of restricted stock. During the nine months ended September 30, 2012, the Company acquired 12,865 shares of common stock, respectively from employees in connection with withholding tax payments related to the vesting of restricted stock for a total consideration of $331.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acquired are held as treasury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Company’s Gratuity Plans in India and the Philippines provide a lump-sum payment to vested employees on retirement or 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Plans are accrued in the year to which they relate. Actuarial gains or losses or prior service costs, if any, resulting from amendments to the plans are recognized and amortized over the remaining period of service of the employees.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4"/>
                <w:szCs w:val="14"/>
                <w:color w:val="auto"/>
              </w:rPr>
            </w:pPr>
          </w:p>
        </w:tc>
        <w:tc>
          <w:tcPr>
            <w:tcW w:w="23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7"/>
              </w:rPr>
              <w:t>Nine months ended September 30,</w:t>
            </w:r>
          </w:p>
        </w:tc>
      </w:tr>
      <w:tr>
        <w:trPr>
          <w:trHeight w:val="142"/>
        </w:trPr>
        <w:tc>
          <w:tcPr>
            <w:tcW w:w="20" w:type="dxa"/>
            <w:vAlign w:val="bottom"/>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8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266</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cost</w:t>
            </w: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103</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9"/>
              </w:rPr>
              <w:t>(38)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Actuarial loss</w:t>
            </w:r>
          </w:p>
        </w:tc>
        <w:tc>
          <w:tcPr>
            <w:tcW w:w="18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2400" w:type="dxa"/>
            <w:vAlign w:val="bottom"/>
            <w:gridSpan w:val="2"/>
            <w:shd w:val="clear" w:color="auto" w:fill="CCEEFF"/>
          </w:tcPr>
          <w:p>
            <w:pPr>
              <w:jc w:val="right"/>
              <w:ind w:right="38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363</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The Gratuity Plans in India are partially funded and are managed and administered by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9.5% on these Gratuity Plans for the year ended March 31, 2013.</w:t>
      </w:r>
    </w:p>
    <w:p>
      <w:pPr>
        <w:spacing w:after="0" w:line="1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060" w:type="dxa"/>
            <w:vAlign w:val="bottom"/>
            <w:gridSpan w:val="3"/>
          </w:tcPr>
          <w:p>
            <w:pPr>
              <w:spacing w:after="0"/>
              <w:rPr>
                <w:sz w:val="20"/>
                <w:szCs w:val="20"/>
                <w:color w:val="auto"/>
              </w:rPr>
            </w:pPr>
            <w:r>
              <w:rPr>
                <w:rFonts w:ascii="Arial" w:cs="Arial" w:eastAsia="Arial" w:hAnsi="Arial"/>
                <w:sz w:val="14"/>
                <w:szCs w:val="14"/>
                <w:b w:val="1"/>
                <w:bCs w:val="1"/>
                <w:color w:val="auto"/>
              </w:rPr>
              <w:t>Change in Plan Assets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 assets at January 1, 2013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Actual return</w:t>
            </w:r>
          </w:p>
        </w:tc>
        <w:tc>
          <w:tcPr>
            <w:tcW w:w="50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2"/>
        </w:trPr>
        <w:tc>
          <w:tcPr>
            <w:tcW w:w="8060" w:type="dxa"/>
            <w:vAlign w:val="bottom"/>
            <w:gridSpan w:val="3"/>
          </w:tcPr>
          <w:p>
            <w:pPr>
              <w:spacing w:after="0"/>
              <w:rPr>
                <w:sz w:val="20"/>
                <w:szCs w:val="20"/>
                <w:color w:val="auto"/>
              </w:rPr>
            </w:pPr>
            <w:r>
              <w:rPr>
                <w:rFonts w:ascii="Arial" w:cs="Arial" w:eastAsia="Arial" w:hAnsi="Arial"/>
                <w:sz w:val="18"/>
                <w:szCs w:val="18"/>
                <w:color w:val="auto"/>
              </w:rPr>
              <w:t>Plan assets at September 30, 2013</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maintains the ExlService.com LLC. 401(k) Plan under Section 401(k) of the Internal Revenue Code of 1986, covering all eligible employees, as defined. The Company may make discretionary contributions of up to a maximum of 3% of employee compensation within certain limits. The Company has made provisions for contributions to the 401(k) Plan amounting to $370 and $245 during the three month periods ended September 30, 2013 and September 30, 2012, respectively, and $1,343 and $925 during the nine month periods ended September 30, 2013 and September 30, 2012, respectively, under the plans as applicable for these years.</w:t>
      </w:r>
    </w:p>
    <w:p>
      <w:pPr>
        <w:spacing w:after="0" w:line="143"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During the three and nine month periods ended September 30, 2013 and 2012, the Company contributed the following amounts to various defined contribution plans on behalf of its employees in India, the Philippines, Romania, Bulgaria, Malaysia and the Czech Republic:</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2013</w:t>
            </w:r>
          </w:p>
        </w:tc>
        <w:tc>
          <w:tcPr>
            <w:tcW w:w="5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Three months ended September 30, 2012</w:t>
            </w:r>
          </w:p>
        </w:tc>
        <w:tc>
          <w:tcPr>
            <w:tcW w:w="5120" w:type="dxa"/>
            <w:vAlign w:val="bottom"/>
          </w:tcPr>
          <w:p>
            <w:pPr>
              <w:jc w:val="right"/>
              <w:ind w:right="12"/>
              <w:spacing w:after="0"/>
              <w:rPr>
                <w:sz w:val="20"/>
                <w:szCs w:val="20"/>
                <w:color w:val="auto"/>
              </w:rPr>
            </w:pPr>
            <w:r>
              <w:rPr>
                <w:rFonts w:ascii="Arial" w:cs="Arial" w:eastAsia="Arial" w:hAnsi="Arial"/>
                <w:sz w:val="18"/>
                <w:szCs w:val="18"/>
                <w:color w:val="auto"/>
              </w:rPr>
              <w:t>$1,384</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2013</w:t>
            </w:r>
          </w:p>
        </w:tc>
        <w:tc>
          <w:tcPr>
            <w:tcW w:w="5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$4,149</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Nine months ended September 30, 2012</w:t>
            </w:r>
          </w:p>
        </w:tc>
        <w:tc>
          <w:tcPr>
            <w:tcW w:w="5120" w:type="dxa"/>
            <w:vAlign w:val="bottom"/>
          </w:tcPr>
          <w:p>
            <w:pPr>
              <w:jc w:val="right"/>
              <w:ind w:right="12"/>
              <w:spacing w:after="0"/>
              <w:rPr>
                <w:sz w:val="20"/>
                <w:szCs w:val="20"/>
                <w:color w:val="auto"/>
              </w:rPr>
            </w:pPr>
            <w:r>
              <w:rPr>
                <w:rFonts w:ascii="Arial" w:cs="Arial" w:eastAsia="Arial" w:hAnsi="Arial"/>
                <w:sz w:val="18"/>
                <w:szCs w:val="18"/>
                <w:color w:val="auto"/>
              </w:rPr>
              <w:t>$4,227</w:t>
            </w:r>
          </w:p>
        </w:tc>
      </w:tr>
      <w:tr>
        <w:trPr>
          <w:trHeight w:val="356"/>
        </w:trPr>
        <w:tc>
          <w:tcPr>
            <w:tcW w:w="3560" w:type="dxa"/>
            <w:vAlign w:val="bottom"/>
          </w:tcPr>
          <w:p>
            <w:pPr>
              <w:spacing w:after="0"/>
              <w:rPr>
                <w:sz w:val="24"/>
                <w:szCs w:val="24"/>
                <w:color w:val="auto"/>
              </w:rPr>
            </w:pPr>
          </w:p>
        </w:tc>
        <w:tc>
          <w:tcPr>
            <w:tcW w:w="5120" w:type="dxa"/>
            <w:vAlign w:val="bottom"/>
          </w:tcPr>
          <w:p>
            <w:pPr>
              <w:jc w:val="right"/>
              <w:ind w:right="4172"/>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finances its use of certain computer hardware, leasehold improvements, furniture, fixtures, office equipment and motor vehicles under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various lease arrangements provided by financial institutions. Future minimum lease payments under these capital leases as of September 30, 2013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2014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$1,335</w:t>
            </w:r>
          </w:p>
        </w:tc>
        <w:tc>
          <w:tcPr>
            <w:tcW w:w="10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2016</w:t>
            </w:r>
          </w:p>
        </w:tc>
        <w:tc>
          <w:tcPr>
            <w:tcW w:w="50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r>
      <w:tr>
        <w:trPr>
          <w:trHeight w:val="221"/>
        </w:trPr>
        <w:tc>
          <w:tcPr>
            <w:tcW w:w="1082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500" w:type="dxa"/>
            <w:vAlign w:val="bottom"/>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19"/>
                <w:szCs w:val="19"/>
                <w:color w:val="auto"/>
              </w:rPr>
            </w:pPr>
          </w:p>
        </w:tc>
      </w:tr>
      <w:tr>
        <w:trPr>
          <w:trHeight w:val="218"/>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r>
      <w:tr>
        <w:trPr>
          <w:trHeight w:val="221"/>
        </w:trPr>
        <w:tc>
          <w:tcPr>
            <w:tcW w:w="1082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500" w:type="dxa"/>
            <w:vAlign w:val="bottom"/>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19"/>
                <w:szCs w:val="19"/>
                <w:color w:val="auto"/>
              </w:rPr>
            </w:pPr>
          </w:p>
        </w:tc>
      </w:tr>
      <w:tr>
        <w:trPr>
          <w:trHeight w:val="218"/>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8"/>
                <w:szCs w:val="18"/>
                <w:color w:val="auto"/>
              </w:rPr>
            </w:pPr>
          </w:p>
        </w:tc>
      </w:tr>
      <w:tr>
        <w:trPr>
          <w:trHeight w:val="222"/>
        </w:trPr>
        <w:tc>
          <w:tcPr>
            <w:tcW w:w="10820" w:type="dxa"/>
            <w:vAlign w:val="bottom"/>
          </w:tcPr>
          <w:p>
            <w:pPr>
              <w:spacing w:after="0"/>
              <w:rPr>
                <w:sz w:val="20"/>
                <w:szCs w:val="20"/>
                <w:color w:val="auto"/>
              </w:rPr>
            </w:pPr>
            <w:r>
              <w:rPr>
                <w:rFonts w:ascii="Arial" w:cs="Arial" w:eastAsia="Arial" w:hAnsi="Arial"/>
                <w:sz w:val="18"/>
                <w:szCs w:val="18"/>
                <w:color w:val="auto"/>
              </w:rPr>
              <w:t>Long term capital lease obligation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1,533</w:t>
            </w:r>
          </w:p>
        </w:tc>
        <w:tc>
          <w:tcPr>
            <w:tcW w:w="100" w:type="dxa"/>
            <w:vAlign w:val="bottom"/>
          </w:tcPr>
          <w:p>
            <w:pPr>
              <w:spacing w:after="0"/>
              <w:rPr>
                <w:sz w:val="19"/>
                <w:szCs w:val="19"/>
                <w:color w:val="auto"/>
              </w:rPr>
            </w:pPr>
          </w:p>
        </w:tc>
      </w:tr>
      <w:tr>
        <w:trPr>
          <w:trHeight w:val="20"/>
        </w:trPr>
        <w:tc>
          <w:tcPr>
            <w:tcW w:w="10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 conducts its operations using facilities leased under non-cancelable operating lease agreements that expire at various dates. Future minimum lease payments under non-cancelable operating lease agreements expiring after more than twelve months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8,419</w:t>
            </w:r>
          </w:p>
        </w:tc>
        <w:tc>
          <w:tcPr>
            <w:tcW w:w="100" w:type="dxa"/>
            <w:vAlign w:val="bottom"/>
          </w:tcPr>
          <w:p>
            <w:pPr>
              <w:spacing w:after="0"/>
              <w:rPr>
                <w:sz w:val="18"/>
                <w:szCs w:val="18"/>
                <w:color w:val="auto"/>
              </w:rPr>
            </w:pPr>
          </w:p>
        </w:tc>
      </w:t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100" w:type="dxa"/>
            <w:vAlign w:val="bottom"/>
            <w:shd w:val="clear" w:color="auto" w:fill="CCEEFF"/>
          </w:tcPr>
          <w:p>
            <w:pPr>
              <w:spacing w:after="0"/>
              <w:rPr>
                <w:sz w:val="18"/>
                <w:szCs w:val="18"/>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18"/>
                <w:szCs w:val="18"/>
                <w:color w:val="auto"/>
              </w:rPr>
            </w:pPr>
          </w:p>
        </w:tc>
      </w:t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2019 and thereafter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r>
      <w:tr>
        <w:trPr>
          <w:trHeight w:val="222"/>
        </w:trPr>
        <w:tc>
          <w:tcPr>
            <w:tcW w:w="107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22,830</w:t>
            </w:r>
          </w:p>
        </w:tc>
        <w:tc>
          <w:tcPr>
            <w:tcW w:w="100" w:type="dxa"/>
            <w:vAlign w:val="bottom"/>
          </w:tcPr>
          <w:p>
            <w:pPr>
              <w:spacing w:after="0"/>
              <w:rPr>
                <w:sz w:val="19"/>
                <w:szCs w:val="19"/>
                <w:color w:val="auto"/>
              </w:rPr>
            </w:pPr>
          </w:p>
        </w:tc>
      </w:tr>
      <w:tr>
        <w:trPr>
          <w:trHeight w:val="20"/>
        </w:trPr>
        <w:tc>
          <w:tcPr>
            <w:tcW w:w="10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operating leases are subject to renewal periodically and have scheduled rent increases. The Company accounts for scheduled rent on a straight-line basis over the lease period. Rent expense under both cancelable and non-cancelable operating leases was $4,264 and $4,341 for the three months ended September 30, 2013 and 2012, respectively, and $13,049 and $13,325 for the nine months ended September 30, 2013 and 2012, respectively. Deferred rent as of September 30, 2013 and December 31, 2012 was $5,242 and $4,893, respectively, and is included under “Accrued expenses and other current liabilities” and “Non-current liabilities” in the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recorded income tax expense of $4,230 and $4,329 for the three months ended September 30, 2013 and 2012, respectively, and $10,842 and $10,975 for the nine months ended September 30, 2013 and 2012, respectively. The effective rate of taxes decreased from 27.0% during the three months ended September 30, 2012 to 24.2% during the three months ended September 30, 2013. The effective rate of taxes decreased from 27.0% during the nine months ended September 30, 2012 to 25.2% during the nine months ended September 30, 2013. The decrease in effective tax rate is primarily due to the extension of a one-year tax holiday period for one of the operating centers in the Philippines retroactively from May 2012, research and development expenses credit and certain other deductions, partially offset by the expiration of a portion of the tax holiday in our Bengaluru center in India as mentioned below.</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benefited from a four-year income tax holiday for one of its operations centers in the Philippines that expired in May 2012. The tax benefit was extendable by two successive one-year periods on fulfillment of certain performance and investment criteria. The Company fulfilled such obligations and extensions were granted by the Philippines Economic Zone Authority (“PEZA”) in February 2013 retroactively from May 2012 and in May 2013 for an additional one year which will expire in May 2014. Other operations centers in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Philippines, which began operations in January 2012 and in May 2013, respectively, benefit from a separate four-year income tax holiday from the date of their starting operations that can be extended at PEZA’s discretion for two successive one-year periods. While the Company is reasonably certain that these benefits will continue to be available for the expected period, it is possible that such tax holidays or extensions may be conditioned or removed entirely due to changes in applicable legislation by the government of the Philippines. Should any of these events occur, the Company’s tax liability in the Philippines would likely increase.</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Company’s operations centers in Jaipur and Noida, India, which were established in Special Economic Zones (“SEZs”) in 2010, are eligible for tax incentives until 2020. As part of the OPI Acquisition, the Company also acquired operations centers in Bengaluru and Kochi, India that are also established in SEZs. The operations center in Bengaluru completed its first five years of operations on March 31, 2012 during which such operations were entitled to a 100% tax exemption on export profits. Under Indian tax regulations, the Bengaluru operations center is entitled to a 50% tax exemption on export profits for five years from April 1, 2012. The Company’s tax expense for the Bengaluru center increased after April 1, 2012 and will further increase after the expiration of the current five-year term in 2017. The Company also established a new operations center in Pune, India in June 2012 and in Kochi, India in May 2013, both of which are located in SEZs. The Company anticipates establishing additional operations centers in SEZs or other tax advantaged locations in the future.</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September 30, 2013 and December 31, 2012, the Company performed an analysis of the deferred tax asset valuation allowance for net operating loss carry forward for its domestic entities. Based on this analysis, the Company continues to carry a valuation allowance on the deferred tax assets on net operating loss carry forwards. Accordingly, the Company had recorded a valuation allowance of $665 each as of September 30, 2013 and December 31, 2012, respectively.</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Company’s Indian subsidiaries are liable to pay the Minimum Alternative Tax (“MAT”) under India’s domestic tax laws. As of September 30, 2013 and December 31, 2012, deferred income taxes related to the MAT were approximately $2,989 and $2,932, respectively, expiring through various years until 2024.</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provision for income taxes also includes the impact of provisions established for uncertain income tax positions determined in accordance with ASC No. 740, “</w:t>
      </w:r>
      <w:r>
        <w:rPr>
          <w:rFonts w:ascii="Arial" w:cs="Arial" w:eastAsia="Arial" w:hAnsi="Arial"/>
          <w:sz w:val="16"/>
          <w:szCs w:val="16"/>
          <w:i w:val="1"/>
          <w:iCs w:val="1"/>
          <w:color w:val="auto"/>
        </w:rPr>
        <w:t>Income Taxes</w:t>
      </w:r>
      <w:r>
        <w:rPr>
          <w:rFonts w:ascii="Arial" w:cs="Arial" w:eastAsia="Arial" w:hAnsi="Arial"/>
          <w:sz w:val="16"/>
          <w:szCs w:val="16"/>
          <w:color w:val="auto"/>
        </w:rPr>
        <w:t>,” as well as the related net interest. Tax exposures can involve complex issues and may require an extended resolution period.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related to the gross unrecognized tax benefits from January 1, 2013 through September 30, 2013:</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2013</w:t>
            </w:r>
          </w:p>
        </w:tc>
        <w:tc>
          <w:tcPr>
            <w:tcW w:w="3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33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3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33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current year tax positions</w:t>
            </w:r>
          </w:p>
        </w:tc>
        <w:tc>
          <w:tcPr>
            <w:tcW w:w="3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33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2013</w:t>
            </w:r>
          </w:p>
        </w:tc>
        <w:tc>
          <w:tcPr>
            <w:tcW w:w="3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unrecognized tax benefits as of September 30, 2013 of $2,774, if recognized, would impact the effective tax rate. The unrecognized tax benefits may increase or decrease in the next twelve months depending on the Company’s tax positions.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has recognized interest and penalties of $52 and $169 during the three and nine months ended September 30, 2013, respectively, which are included in the income tax provision in the consolidated statements of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statements of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w w:val="86"/>
              </w:rPr>
              <w:t>Three months ended September 30,</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ind w:left="4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42"/>
        </w:trPr>
        <w:tc>
          <w:tcPr>
            <w:tcW w:w="1160" w:type="dxa"/>
            <w:vAlign w:val="bottom"/>
            <w:tcBorders>
              <w:bottom w:val="single" w:sz="8" w:color="CCEEFF"/>
            </w:tcBorders>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1,142</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3,958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3,472</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spacing w:after="0"/>
              <w:rPr>
                <w:sz w:val="18"/>
                <w:szCs w:val="18"/>
                <w:color w:val="auto"/>
              </w:rPr>
            </w:pPr>
          </w:p>
        </w:tc>
      </w:tr>
      <w:tr>
        <w:trPr>
          <w:trHeight w:val="222"/>
        </w:trPr>
        <w:tc>
          <w:tcPr>
            <w:tcW w:w="6080" w:type="dxa"/>
            <w:vAlign w:val="bottom"/>
            <w:gridSpan w:val="2"/>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2,967</w:t>
            </w:r>
          </w:p>
        </w:tc>
        <w:tc>
          <w:tcPr>
            <w:tcW w:w="82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9,472</w:t>
            </w:r>
          </w:p>
        </w:tc>
        <w:tc>
          <w:tcPr>
            <w:tcW w:w="5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7,329</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during the three and nine months period ended September 30, 2013, recognized an additional stock compensation expense of $854 as a result of modified vesting conditions on certain restricted stock units.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Three months ended September 30,</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42"/>
        </w:trPr>
        <w:tc>
          <w:tcPr>
            <w:tcW w:w="52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auto"/>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112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1800" w:type="dxa"/>
            <w:vAlign w:val="bottom"/>
            <w:gridSpan w:val="3"/>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120"/>
              <w:spacing w:after="0"/>
              <w:rPr>
                <w:sz w:val="20"/>
                <w:szCs w:val="20"/>
                <w:color w:val="auto"/>
              </w:rPr>
            </w:pPr>
            <w:r>
              <w:rPr>
                <w:rFonts w:ascii="Arial" w:cs="Arial" w:eastAsia="Arial" w:hAnsi="Arial"/>
                <w:sz w:val="18"/>
                <w:szCs w:val="18"/>
                <w:color w:val="auto"/>
              </w:rPr>
              <w:t>5.50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5.38</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0.87%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0.97%</w:t>
            </w: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1800" w:type="dxa"/>
            <w:vAlign w:val="bottom"/>
            <w:gridSpan w:val="3"/>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80"/>
              <w:spacing w:after="0"/>
              <w:rPr>
                <w:sz w:val="20"/>
                <w:szCs w:val="20"/>
                <w:color w:val="auto"/>
              </w:rPr>
            </w:pPr>
            <w:r>
              <w:rPr>
                <w:rFonts w:ascii="Arial" w:cs="Arial" w:eastAsia="Arial" w:hAnsi="Arial"/>
                <w:sz w:val="18"/>
                <w:szCs w:val="18"/>
                <w:color w:val="auto"/>
              </w:rPr>
              <w:t>40%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bl>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estimated expected term of options granted has been based on historical experience, which is representative of the expected term of the options. Volatility has been calculated based on the volatility of the Company’s common stock and the volatility of stock of comparative companies. The risk-free interest rate that the Company uses in the option valuation model is based on U.S. treasury zero-coupon bonds with a remaining term similar to the expected term of the options.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2"/>
                <w:szCs w:val="12"/>
                <w:color w:val="auto"/>
              </w:rPr>
            </w:pPr>
          </w:p>
        </w:tc>
        <w:tc>
          <w:tcPr>
            <w:tcW w:w="76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86"/>
              </w:rPr>
              <w:t>Aggregate</w:t>
            </w:r>
          </w:p>
        </w:tc>
        <w:tc>
          <w:tcPr>
            <w:tcW w:w="62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Contractual Life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Exercise Price</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7"/>
              </w:rPr>
              <w:t>Intrinsic Value</w:t>
            </w:r>
          </w:p>
        </w:tc>
        <w:tc>
          <w:tcPr>
            <w:tcW w:w="62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2,454,634</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27,554</w:t>
            </w:r>
          </w:p>
        </w:tc>
        <w:tc>
          <w:tcPr>
            <w:tcW w:w="6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14,301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(412,726)</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(27,279)</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2,028,930</w:t>
            </w: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25,133</w:t>
            </w:r>
          </w:p>
        </w:tc>
        <w:tc>
          <w:tcPr>
            <w:tcW w:w="62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September 30, 2013</w:t>
            </w: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gridSpan w:val="2"/>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1,461,044</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13.66</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21,649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September 30, 2013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1,813,144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unrecognized compensation cost for unvested options as of September 30, 2013 was $3,252, which is expected to be expensed over a weighted average period of 1.93 years. The Company did not grant any options during the three months ended September 30, 2013 and 2012. The weighted-average fair value of options granted during the nine months ended September 30, 2013 and 2012 was $10.07 and $9.43, respectively. The total fair value of shares vested during the three months ended September 30, 2013 and 2012 was $541 and $409, respectively. The total fair value of shares vested during the nine months ended September 30, 2013 and 2012 was $2,865 and $2,757,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w w:val="88"/>
              </w:rPr>
              <w:t>Restricted Stock</w:t>
            </w:r>
          </w:p>
        </w:tc>
        <w:tc>
          <w:tcPr>
            <w:tcW w:w="660" w:type="dxa"/>
            <w:vAlign w:val="bottom"/>
          </w:tcPr>
          <w:p>
            <w:pPr>
              <w:spacing w:after="0"/>
              <w:rPr>
                <w:sz w:val="14"/>
                <w:szCs w:val="14"/>
                <w:color w:val="auto"/>
              </w:rPr>
            </w:pPr>
          </w:p>
        </w:tc>
        <w:tc>
          <w:tcPr>
            <w:tcW w:w="2600" w:type="dxa"/>
            <w:vAlign w:val="bottom"/>
            <w:gridSpan w:val="5"/>
          </w:tcPr>
          <w:p>
            <w:pPr>
              <w:ind w:left="62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Weighted-Average</w:t>
            </w:r>
          </w:p>
        </w:tc>
        <w:tc>
          <w:tcPr>
            <w:tcW w:w="6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Weighted-Average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Number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Arial" w:cs="Arial" w:eastAsia="Arial" w:hAnsi="Arial"/>
                <w:sz w:val="14"/>
                <w:szCs w:val="14"/>
                <w:b w:val="1"/>
                <w:bCs w:val="1"/>
                <w:color w:val="auto"/>
                <w:w w:val="87"/>
              </w:rPr>
              <w:t>Intrinsic Value</w:t>
            </w:r>
          </w:p>
        </w:tc>
        <w:tc>
          <w:tcPr>
            <w:tcW w:w="660" w:type="dxa"/>
            <w:vAlign w:val="bottom"/>
          </w:tcPr>
          <w:p>
            <w:pPr>
              <w:spacing w:after="0"/>
              <w:rPr>
                <w:sz w:val="14"/>
                <w:szCs w:val="14"/>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2012*</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6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1,025,911</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20" w:type="dxa"/>
            <w:vAlign w:val="bottom"/>
            <w:gridSpan w:val="2"/>
          </w:tcPr>
          <w:p>
            <w:pPr>
              <w:ind w:left="440"/>
              <w:spacing w:after="0"/>
              <w:rPr>
                <w:sz w:val="20"/>
                <w:szCs w:val="20"/>
                <w:color w:val="auto"/>
              </w:rPr>
            </w:pPr>
            <w:r>
              <w:rPr>
                <w:rFonts w:ascii="Arial" w:cs="Arial" w:eastAsia="Arial" w:hAnsi="Arial"/>
                <w:sz w:val="18"/>
                <w:szCs w:val="18"/>
                <w:color w:val="auto"/>
              </w:rPr>
              <w:t>Granted</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508,630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1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(287,866)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20" w:type="dxa"/>
            <w:vAlign w:val="bottom"/>
            <w:gridSpan w:val="2"/>
          </w:tcPr>
          <w:p>
            <w:pPr>
              <w:ind w:left="440"/>
              <w:spacing w:after="0"/>
              <w:rPr>
                <w:sz w:val="20"/>
                <w:szCs w:val="20"/>
                <w:color w:val="auto"/>
              </w:rPr>
            </w:pPr>
            <w:r>
              <w:rPr>
                <w:rFonts w:ascii="Arial" w:cs="Arial" w:eastAsia="Arial" w:hAnsi="Arial"/>
                <w:sz w:val="18"/>
                <w:szCs w:val="18"/>
                <w:color w:val="auto"/>
              </w:rPr>
              <w:t>Forfeited</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17.72</w:t>
            </w:r>
          </w:p>
        </w:tc>
        <w:tc>
          <w:tcPr>
            <w:tcW w:w="2100" w:type="dxa"/>
            <w:vAlign w:val="bottom"/>
            <w:gridSpan w:val="3"/>
          </w:tcPr>
          <w:p>
            <w:pPr>
              <w:jc w:val="right"/>
              <w:ind w:right="620"/>
              <w:spacing w:after="0"/>
              <w:rPr>
                <w:sz w:val="20"/>
                <w:szCs w:val="20"/>
                <w:color w:val="auto"/>
              </w:rPr>
            </w:pPr>
            <w:r>
              <w:rPr>
                <w:rFonts w:ascii="Arial" w:cs="Arial" w:eastAsia="Arial" w:hAnsi="Arial"/>
                <w:sz w:val="18"/>
                <w:szCs w:val="18"/>
                <w:color w:val="auto"/>
              </w:rPr>
              <w:t>(78,778)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2013*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1,167,897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0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116,000 and 124,000 vested restricted stock units as of September 30, 2013 and December 31, 2012, respectively, for which the underlying common stock is yet to be issued.</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As of September 30, 2013, unrecognized compensation cost of $21,735 is expected to be expensed over a weighted average period of 2.61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Geographical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180" w:type="dxa"/>
            <w:vAlign w:val="bottom"/>
            <w:gridSpan w:val="9"/>
          </w:tcPr>
          <w:p>
            <w:pPr>
              <w:ind w:left="6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42"/>
        </w:trPr>
        <w:tc>
          <w:tcPr>
            <w:tcW w:w="400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United States</w:t>
            </w:r>
          </w:p>
        </w:tc>
        <w:tc>
          <w:tcPr>
            <w:tcW w:w="29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91,995</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80,949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259,769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234,514</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70,186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66,046</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Rest of World</w:t>
            </w: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7,320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24,374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24,717</w:t>
            </w:r>
          </w:p>
        </w:tc>
        <w:tc>
          <w:tcPr>
            <w:tcW w:w="100" w:type="dxa"/>
            <w:vAlign w:val="bottom"/>
          </w:tcPr>
          <w:p>
            <w:pPr>
              <w:spacing w:after="0"/>
              <w:rPr>
                <w:sz w:val="18"/>
                <w:szCs w:val="18"/>
                <w:color w:val="auto"/>
              </w:rPr>
            </w:pPr>
          </w:p>
        </w:tc>
      </w:tr>
      <w:tr>
        <w:trPr>
          <w:trHeight w:val="27"/>
        </w:trPr>
        <w:tc>
          <w:tcPr>
            <w:tcW w:w="40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122,315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354,329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325,277</w:t>
            </w:r>
          </w:p>
        </w:tc>
        <w:tc>
          <w:tcPr>
            <w:tcW w:w="100" w:type="dxa"/>
            <w:vAlign w:val="bottom"/>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40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400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3"/>
              </w:rPr>
              <w:t>2013</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India</w:t>
            </w: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20,274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29,539</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Philippines</w:t>
            </w: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8"/>
                <w:szCs w:val="18"/>
                <w:color w:val="auto"/>
              </w:rPr>
            </w:pPr>
          </w:p>
        </w:tc>
      </w:tr>
      <w:tr>
        <w:trPr>
          <w:trHeight w:val="222"/>
        </w:trPr>
        <w:tc>
          <w:tcPr>
            <w:tcW w:w="40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31,690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39,356</w:t>
            </w:r>
          </w:p>
        </w:tc>
        <w:tc>
          <w:tcPr>
            <w:tcW w:w="10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right="8660" w:hanging="232"/>
        <w:spacing w:after="0" w:line="417" w:lineRule="auto"/>
        <w:tabs>
          <w:tab w:leader="none" w:pos="275"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September 30, 2013, the Company had committed to spend approximately $3,095 under agreements to purchase fixed assets. This amount is net of capital advances paid in respect of these purchases.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Certain units of the Company’s Indian subsidiaries were established as 100% Export-Oriented units under the Software Technology Parks of India (“STPI”) scheme promulgated by the Government of India, which provided the Company with certain incentives on imported and indigenous capital goods on fulfillment of certain conditions. Although the corporate tax incentives under the STPI scheme are no longer available to the Company, the units are required to fulfill such conditions for a limited time. In the event that these units are unable to meet the prescribed conditions over the specified period, the Company may be required to refund those incentives along with penalties and fines. The Company’s management believes, however, that these units have in the past satisfied and will continue to satisfy the required conditions.</w:t>
      </w:r>
    </w:p>
    <w:p>
      <w:pPr>
        <w:spacing w:after="0" w:line="14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Company’s operations centers in the Philippines are registered with PEZA. The registration provides the Company with certain fiscal incentives on the import of capital goods and requires Exl Philippines to meet certain performance and investment criteria. The Company’s management believes that these centers have in the past satisfied and will continue to satisfy the required criteria.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its U.S. subsidiary ExlService.com, LLC. are engaged in tax litigation with the income-tax authorities in India on the issue of permanent establishment.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The aggregate disputed amount demanded by Indian tax authorities from the Company related to its transfer pricing issues for various years ranging from tax years 2003 to 2009 and its permanent establishment issues ranging from tax years 2003 to 2007 as of September 30, 2013 and December 31, 2012 is $14,815 and $18,624, respectively, of which the Company has already made payments or provided bank guarantees to the extent of $12,927 and $14,715, respectively.</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Amounts paid as deposits in respect of such assessments aggregating to $10,811 and $12,307 as of September 30, 2013 and December 31, 2012, respectively, are included in “Other assets” and amounts deposited for bank guarantees aggregating to $2,116 and $2,408 as of September 30, 2013 and December 31, 2012, respectively, are included in “Restricted cash” in the non-current assets section of the Company’s consolidated balance sheets as of September 30, 2013 and December 31, 2012.</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that the Company will ultimately be found liable 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Even if these disputes are resolved, the Indian tax authorities may still serve additional orders or assessments.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2012. Some of the statements in the following discussion are forward looking statements. See “Forward Looking Statements.” Dollar amounts within Item 2 are presented as actual dollar amounts.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This Quarterly Report on Form 10-Q, and oral statements made from time to time by our representatives, may contain forward looking statements. You should not place undue reliance on these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and the impact of the termination of the Services Agreement (as defined below) with Travelers (as defined below). These statements may also include those with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uncertainty regarding the impact of the termination of the Services Agreement with Travelers, the process for the transition of the Travelers services away from our facilities and our ability to re-deploy personnel and infrastructure to other clients;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forward 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are a leading provider of outsourcing and transformation services and focus on providing our clients with a positive business impact and enhancing their long term financial value. We customize our services to improve the economics of business performance and transform organizations to be leaner and more flexible. Our outsourcing services provide front-, middle- and back-office processing for our clients, who are primarily Global 1000 Companies. We also offer a number of transformation services including decision analytics, finance transformation and operations and process excellence consulting.</w:t>
      </w:r>
    </w:p>
    <w:p>
      <w:pPr>
        <w:spacing w:after="0" w:line="11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global delivery network, comprising highly trained industry and process specialists across the United States, Europe and Asia, is a key asset. We operate sixteen operations centers in India, six operations centers in the U.S., three operations centers in the Philippines and, one operations center in each of Bulgaria, Romania, Malaysia and the Czech Republic.</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three months ended September 30, 2013, we had total revenues of $122.3 million compared to total revenues of $112.6 million for the three months ended September 30, 2012, an increase of $9.7 million or 8.6%. Revenues from outsourcing services increased from $92.0 million for the three months ended September 30, 2012, to $99.7 million for the three months ended September 30, 2013. Revenues from transformation services increased from $20.6 million for the three months ended September 30, 2012 to $22.6 million for the three months ended September 30, 2013.</w:t>
      </w:r>
    </w:p>
    <w:p>
      <w:pPr>
        <w:spacing w:after="0" w:line="11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For the nine months ended September 30, 2013, we had total revenues of $354.3 million compared to total revenues of $325.3 million for the nine months ended September 30, 2012, an increase of $29.0 million or 8.9%. Revenues from outsourcing services increased from $270.6 million for the nine months ended September 30, 2012, to $294.6 million for the nine months ended September 30, 2013. Revenues from transformation services increased from $54.7 million for the nine months ended September 30, 2012 to $59.8 million for the nine months ended September 30, 2013.</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serve clients mainly in the U.S. and the U.K., with these two regions generating 75.2% and 18.8%, respectively, of our total revenues for the three months ended September 30, 2013 and 71.9% and 20.5%, respectively, of our total revenues for the three months ended September 30, 2012. For the nine months ended September 30, 2013, these two regions generated 73.3% and 19.8%, respectively, of our total revenues and 72.1% and 20.3%, respectively, of our total revenues for the nine months ended September 30, 2012.</w:t>
      </w:r>
    </w:p>
    <w:p>
      <w:pPr>
        <w:spacing w:after="0" w:line="143"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For the three months ended September 30, 2013 and 2012, total revenues from our top ten clients accounted for 57.1% and 60.8% of our total revenues, respectively. For the nine months ended September 30, 2013 and 2012, total revenues from our top ten clients accounted for 58.8% and 60.0% of our total revenues, respectively. None of our clients accounted for more than 10% of our total revenues during the three and nine months ended September 30, 2013 compared to none during the three months ended September 30, 2012 and one during the nine months ended September 30, 2012. Although we are continually increasing and diversifying our customer base, we expect in the near future that a significant portion of our revenue will continue to be contributed by a limited number of large clients.</w:t>
      </w:r>
    </w:p>
    <w:p>
      <w:pPr>
        <w:spacing w:after="0" w:line="14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derived revenues from eight and eighteen new clients for our services in the three and nine months ended September 30, 2013, respectively, compared to five and twenty five new clients for our services in the three and nine months ended September 30, 2012, respectively. Another two clients acquired during the quarter ended September 30, 2013 did not generate any revenues but are expected to start generating revenues next quarter.</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previously discussed, on November 1, 2013, we received a notice of termination from The Travelers Indemnity Company (“Travelers”) pursuant to Section 19.2 of the Professional Services Agreement, dated as of March 7, 2006, between us and Travelers (as amended from time to time, the “Services Agreement”).</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Travelers represented 9.6% and 9.7% of our total revenues for the three and nine months ended September 30, 2013, respectively. We expect that this termination will not have a material impact on calendar year 2013 revenues and estimate a reduction in 2014 revenues of $14 million to $28 million, although transition plans have not been discussed by the parties. Under the Services Agreement, we must provide, for up to eighteen (18) months from the termination date, certain disentanglement services at our expense. We are confident in our ability to redeploy the employee resources and physical infrastructure based on our expected growth and expansion. As such, we do not expect any employee layoffs due to the termination.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EXL is organized into two business segments: Outsourcing Services and Transformation Services. We market our services to our existing and prospective clients through our sales and client management teams, which are aligned by key industry verticals and cross-industry domains such as finance and accounting. Our sales and client management teams operate from the U.S. and Europe.</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Outsourcing Services: </w:t>
      </w:r>
      <w:r>
        <w:rPr>
          <w:rFonts w:ascii="Arial" w:cs="Arial" w:eastAsia="Arial" w:hAnsi="Arial"/>
          <w:sz w:val="18"/>
          <w:szCs w:val="18"/>
          <w:color w:val="auto"/>
        </w:rPr>
        <w:t>We provide our clients with a range of outsourcing services principally in the insurance, healthcare, utilities, banking and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travel, and transportation and logistics sectors, as well as cross-industry outsourcing services, such as finance and accounting services. We primarily serve the needs of Global 1000 companies in these sectors.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outsourcing services involve the transfer to us of select business operations of a client, such as claims processing, policy administration and finance and accounting, after which we administer and manage the operations for our client on an ongoing basis.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most outsourcing services, we enter into long-term agreements with our clients with typical initial terms ranging from three to eight years. These contracts also usually contain provisions permitting termination of the contract after a short notice period.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U.K. pound sterling/U.S. dollar foreign currency exposure.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recently been observing a shift in industry pricing models toward transaction-based pricing and other pricing models. We believe this trend will continue and we have begun to use transaction-based and other pricing models with some of our current clients and are seeking to move certain other clients from a billing rate model to a transaction-based or other pricing model. Such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Within our outsourcing services, we also offer platform technology services. We have added these capabilities through acquisitions over the last few years. Key platform technology offerings include CareRadius</w:t>
      </w:r>
      <w:r>
        <w:rPr>
          <w:rFonts w:ascii="Arial" w:cs="Arial" w:eastAsia="Arial" w:hAnsi="Arial"/>
          <w:sz w:val="11"/>
          <w:szCs w:val="11"/>
          <w:color w:val="auto"/>
        </w:rPr>
        <w:t>®</w:t>
      </w:r>
      <w:r>
        <w:rPr>
          <w:rFonts w:ascii="Arial" w:cs="Arial" w:eastAsia="Arial" w:hAnsi="Arial"/>
          <w:sz w:val="18"/>
          <w:szCs w:val="18"/>
          <w:color w:val="auto"/>
        </w:rPr>
        <w:t xml:space="preserve"> and MaxMC</w:t>
      </w:r>
      <w:r>
        <w:rPr>
          <w:rFonts w:ascii="Arial" w:cs="Arial" w:eastAsia="Arial" w:hAnsi="Arial"/>
          <w:sz w:val="11"/>
          <w:szCs w:val="11"/>
          <w:color w:val="auto"/>
        </w:rPr>
        <w:t>®</w:t>
      </w:r>
      <w:r>
        <w:rPr>
          <w:rFonts w:ascii="Arial" w:cs="Arial" w:eastAsia="Arial" w:hAnsi="Arial"/>
          <w:sz w:val="18"/>
          <w:szCs w:val="18"/>
          <w:color w:val="auto"/>
        </w:rPr>
        <w:t xml:space="preserve"> (care management platforms for health insurers and providers), LifePRO</w:t>
      </w:r>
      <w:r>
        <w:rPr>
          <w:rFonts w:ascii="Arial" w:cs="Arial" w:eastAsia="Arial" w:hAnsi="Arial"/>
          <w:sz w:val="11"/>
          <w:szCs w:val="11"/>
          <w:color w:val="auto"/>
        </w:rPr>
        <w:t>®</w:t>
      </w:r>
      <w:r>
        <w:rPr>
          <w:rFonts w:ascii="Arial" w:cs="Arial" w:eastAsia="Arial" w:hAnsi="Arial"/>
          <w:sz w:val="18"/>
          <w:szCs w:val="18"/>
          <w:color w:val="auto"/>
        </w:rPr>
        <w:t xml:space="preserve"> (an insurance policy administration platform) and SubroSource ™ (a subrogation services platform for property and casualty insurers). Depending on the platform, the fees derived from our platform technologies may be based on licenses, installation, support and maintenance, and/or recoveries from claims. We believe our proprietary platform technology will be an important source of growth in the future as clients choose to transfer certain business functions to a third-party-owned technology provider.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and are generally recognized ratably over the terms of the contracts. New license sales and implementation projects have a long selling cycle and it is difficult to predict the timing of when such new contracts will be signed will be signed which may lead to fluctuations in our short term revenues.</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anticipate that revenues from our outsourcing services will grow as we expand our service offerings and client base, both organically and through acquisitions.</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Transformation Services: </w:t>
      </w:r>
      <w:r>
        <w:rPr>
          <w:rFonts w:ascii="Arial" w:cs="Arial" w:eastAsia="Arial" w:hAnsi="Arial"/>
          <w:sz w:val="18"/>
          <w:szCs w:val="18"/>
          <w:color w:val="auto"/>
        </w:rPr>
        <w:t>Our transformation services offer positive business change for our clients. By utilizing sophisticated tools and techniques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highly trained analysts, we (i) provide insight into our clients’ current and future financial and operational results using analytics, (ii) improve clients’ operating environments through cost reduction and increased efficiency and productivity initiatives and (iii) enhance the risk and control environments within our clients’ operations whether or not they are outsourced to us. Our key areas of transformation services are decision analytics, finance transformation and operations and process excellence consulting.</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transformation services consist of both recurring and specific projects with contract terms generally not exceeding one to three years.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 Our transformation services can be significantly affected by variations in business cycles. We have experienced a significant increase in demand for our annuity-based transformation services, which are engagements that are contracted for one- to three-year terms.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For a description of our critical accounting policies and estimates, refer to “Management’s Discussion and Analysis of Financial Condition and Results of Operations—Critical Accounting Policies and Estimates” and Note 1 of the Notes to the Consolidated Financial Statements included in our 2012 Annual Report on form 10-K for the year ended December 31, 2012.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and nine months ended on September 30, 2013 and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85"/>
              </w:rPr>
              <w:t>Three months ended September 30,</w:t>
            </w:r>
          </w:p>
        </w:tc>
        <w:tc>
          <w:tcPr>
            <w:tcW w:w="120" w:type="dxa"/>
            <w:vAlign w:val="bottom"/>
          </w:tcPr>
          <w:p>
            <w:pPr>
              <w:spacing w:after="0"/>
              <w:rPr>
                <w:sz w:val="14"/>
                <w:szCs w:val="14"/>
                <w:color w:val="auto"/>
              </w:rPr>
            </w:pPr>
          </w:p>
        </w:tc>
        <w:tc>
          <w:tcPr>
            <w:tcW w:w="22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3"/>
              </w:rPr>
              <w:t>2012</w:t>
            </w:r>
          </w:p>
        </w:tc>
        <w:tc>
          <w:tcPr>
            <w:tcW w:w="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5"/>
          </w:tcPr>
          <w:p>
            <w:pPr>
              <w:jc w:val="right"/>
              <w:ind w:right="494"/>
              <w:spacing w:after="0" w:line="142"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354.3</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income/(expense):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tax provision</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00" w:type="dxa"/>
            <w:vAlign w:val="bottom"/>
            <w:vMerge w:val="restart"/>
          </w:tcPr>
          <w:p>
            <w:pPr>
              <w:jc w:val="right"/>
              <w:ind w:right="392"/>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2013 Compared to Three Months Ended September 30,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w w:val="86"/>
              </w:rPr>
              <w:t>Three months ended September 30,</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Pr>
          <w:p>
            <w:pPr>
              <w:spacing w:after="0"/>
              <w:rPr>
                <w:sz w:val="12"/>
                <w:szCs w:val="12"/>
                <w:color w:val="auto"/>
              </w:rPr>
            </w:pPr>
          </w:p>
        </w:tc>
        <w:tc>
          <w:tcPr>
            <w:tcW w:w="98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w w:val="81"/>
              </w:rPr>
              <w:t>Change</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(dollars in millions)</w:t>
            </w:r>
          </w:p>
        </w:tc>
        <w:tc>
          <w:tcPr>
            <w:tcW w:w="6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Outsourcing services</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Transformation services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2.0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increase in revenues from outsourcing services of $7.7 million was primarily driven by revenues of $7.4 million from the Landacorp Acquisition and net volume increases from existing and new clients aggregating to $4.3 million. These increases were partially offset by a net decrease in revenues of $4.0 million, primarily due to the impact of the depreciation of the Indian rupee and U.K. pound sterling against the U.S. dollar during the three months ended September 30, 2013 compared to the three months ended September 30, 2012.</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increase in revenues from transformation services was primarily due to higher revenues from our decision analytics and our finance transformation services. Revenues from new clients for transformation services were $0.4 million and $0.2 million during the three months ended September 30, 2013 and 2012, respectively.</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the three months ended September 30, 2013 and 2012, 3.9% and 4.6%, respectively, of our revenues represented telecommunication and travel-related costs billed to and reimbursed by our clients.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87"/>
              </w:rPr>
              <w:t>Three months ended September 30,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w w:val="81"/>
              </w:rPr>
              <w:t>Change</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(dollars in millions)</w:t>
            </w:r>
          </w:p>
        </w:tc>
        <w:tc>
          <w:tcPr>
            <w:tcW w:w="5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Cost of revenues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68.6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3.4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2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6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The increase in cost of revenues was primarily due to an increase in employee-related costs of $7.5 million as a result of an increase in the number of our personnel directly involved in providing services to our clients, including $2.0 million of employee-related costs related to the Landacorp Acquisition. We also experienced an increase in facilities, technology and other operating expenses of $2.4 million (primarily due to the Landacorp Acquisition and new operations centers to support business growth). These increases were partially offset by a decrease of $6.6 million due to the effect of depreciation of the Indian rupee and the Philippine peso against the U.S. dollar during the three months ended September 30, 2013 compared to the three months ended September 30, 2012.</w:t>
      </w:r>
    </w:p>
    <w:p>
      <w:pPr>
        <w:spacing w:after="0" w:line="10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The increase in gross profit as a percentage of revenues is primarily due to higher gross margins from the Landacorp Acquisition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of the Indian rupee and the Philippines peso against the U.S. dollar during the three months ended September 30, 2013 compared to the three months ended September 30, 2012. This increase was partially offset by the lower gross margins in our transformation business due to lower utilization.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2013</w:t>
            </w: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580" w:type="dxa"/>
            <w:vAlign w:val="bottom"/>
          </w:tcPr>
          <w:p>
            <w:pPr>
              <w:spacing w:after="0"/>
              <w:rPr>
                <w:sz w:val="12"/>
                <w:szCs w:val="12"/>
                <w:color w:val="auto"/>
              </w:rPr>
            </w:pP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6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60" w:type="dxa"/>
            <w:vAlign w:val="bottom"/>
          </w:tcPr>
          <w:p>
            <w:pPr>
              <w:spacing w:after="0"/>
              <w:rPr>
                <w:sz w:val="18"/>
                <w:szCs w:val="18"/>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The increase in SG&amp;A expenses was primarily due to an increase in employee-related costs of $3.3 million, including $1.7 million of employee-related costs related to the Landacorp Acquisition and our continued investment in sales and client management personnel. We also experienced an increase in other SG&amp;A expenses of $1.7 million, primarily due to a write off of an accounts receivable of $2.0 million acquired as part of the Landacorp Acquisition during the three months ended September 30, 2013. These increases were partially offset by a decrease of $1.0 million due to the effect of depreciation of the Indian rupee and the Philippine peso against the U.S. dollar during the three months ended September 30, 2013 compared to the three months ended September 30, 2012.</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Three months ended September 30,</w:t>
            </w:r>
          </w:p>
        </w:tc>
        <w:tc>
          <w:tcPr>
            <w:tcW w:w="2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2013</w:t>
            </w:r>
          </w:p>
        </w:tc>
        <w:tc>
          <w:tcPr>
            <w:tcW w:w="10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406"/>
              <w:spacing w:after="0" w:line="142" w:lineRule="exact"/>
              <w:rPr>
                <w:sz w:val="20"/>
                <w:szCs w:val="20"/>
                <w:color w:val="auto"/>
              </w:rPr>
            </w:pPr>
            <w:r>
              <w:rPr>
                <w:rFonts w:ascii="Arial" w:cs="Arial" w:eastAsia="Arial" w:hAnsi="Arial"/>
                <w:sz w:val="14"/>
                <w:szCs w:val="14"/>
                <w:b w:val="1"/>
                <w:bCs w:val="1"/>
                <w:color w:val="auto"/>
                <w:w w:val="87"/>
              </w:rPr>
              <w:t>(dollars in millions)</w:t>
            </w:r>
          </w:p>
        </w:tc>
        <w:tc>
          <w:tcPr>
            <w:tcW w:w="2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4.5</w:t>
            </w:r>
          </w:p>
        </w:tc>
        <w:tc>
          <w:tcPr>
            <w:tcW w:w="5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(0.5)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Intangible amortization expense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32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rPr>
              <w:t>0.2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(0.3)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2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320"/>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decrease in depreciation and amortization expense was primarily due to the effect of depreciation of the Indian rupee and the Philippines peso against the U.S. dollar during the three months ended September 30, 2013 compared to the three months ended September 30, 2012, which was partially offset by an increase in amortization of acquisition related intangibles.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Income from Operations. </w:t>
      </w:r>
      <w:r>
        <w:rPr>
          <w:rFonts w:ascii="Arial" w:cs="Arial" w:eastAsia="Arial" w:hAnsi="Arial"/>
          <w:sz w:val="15"/>
          <w:szCs w:val="15"/>
          <w:color w:val="auto"/>
        </w:rPr>
        <w:t>Income from operations increased 15.7% from $16.9 million for the three months ended September 30, 2012 to $19.5 million for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September 30, 2013. As a percentage of revenues, income from operations increased from 15.0%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2012 to 16.0% for the three months ended September 30, 2013. The increase in income from operations as a percentage of revenues was primarily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due to higher gross margins during the three months ended September 30, 2013.</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12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w w:val="95"/>
              </w:rPr>
              <w:t>Three months ended September 30,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w w:val="96"/>
              </w:rPr>
              <w:t>2012</w:t>
            </w:r>
          </w:p>
        </w:tc>
        <w:tc>
          <w:tcPr>
            <w:tcW w:w="62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(dollars in millions)</w:t>
            </w:r>
          </w:p>
        </w:tc>
        <w:tc>
          <w:tcPr>
            <w:tcW w:w="6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w:t>
            </w:r>
          </w:p>
        </w:tc>
        <w:tc>
          <w:tcPr>
            <w:tcW w:w="3100" w:type="dxa"/>
            <w:vAlign w:val="bottom"/>
            <w:gridSpan w:val="2"/>
            <w:shd w:val="clear" w:color="auto" w:fill="CCEEFF"/>
          </w:tcPr>
          <w:p>
            <w:pPr>
              <w:jc w:val="right"/>
              <w:ind w:right="386"/>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(2.5)</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interest and other income</w:t>
            </w:r>
          </w:p>
        </w:tc>
        <w:tc>
          <w:tcPr>
            <w:tcW w:w="2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(0.1)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2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6"/>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(2.1)</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540" w:type="dxa"/>
            <w:vAlign w:val="bottom"/>
            <w:vMerge w:val="restart"/>
          </w:tcPr>
          <w:p>
            <w:pPr>
              <w:jc w:val="right"/>
              <w:ind w:right="512"/>
              <w:spacing w:after="0"/>
              <w:rPr>
                <w:sz w:val="20"/>
                <w:szCs w:val="20"/>
                <w:color w:val="auto"/>
              </w:rPr>
            </w:pPr>
            <w:r>
              <w:rPr>
                <w:rFonts w:ascii="Arial" w:cs="Arial" w:eastAsia="Arial" w:hAnsi="Arial"/>
                <w:sz w:val="18"/>
                <w:szCs w:val="18"/>
                <w:color w:val="auto"/>
              </w:rPr>
              <w:t>31</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Net foreign exchange losses were attributable to movement of the U.S. dollar against the Indian rupee, U.K. pound sterling and the Philippine peso. The average exchange rate of the Indian rupee against the U.S. dollar increased from 54.67 during the three months ended September 30, 2012 to 62.90 during the three months ended September 30, 2013.</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decreased from $4.3 million for the three months ended September 30, 2012 to $4.2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2013. The effective rate of taxes decreased from 27.0% during the three months ended September 30, 2012 to 24.2% during the three months ended September 30, 2013. Refer to Note 12 to the unaudited consolidated financial statements for further details.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$11.7 million for the three months ended September 30, 2012 to $13.2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2013, primarily due to an increase in operating income of $2.6 million, which was partially offset by decrease in other income of $1.2 million. As a percentage of revenues, net income increased from 10.4% for the three months ended September 30, 2012 to 10.8% for the three months ended September 30,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2013 Compared to Nine Months Ended September 30,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5"/>
              </w:rPr>
              <w:t>Nine months ended September 30,</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81"/>
              </w:rPr>
              <w:t>Change</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4"/>
          </w:tcPr>
          <w:p>
            <w:pPr>
              <w:jc w:val="center"/>
              <w:ind w:right="37"/>
              <w:spacing w:after="0" w:line="142" w:lineRule="exact"/>
              <w:rPr>
                <w:sz w:val="20"/>
                <w:szCs w:val="20"/>
                <w:color w:val="auto"/>
              </w:rPr>
            </w:pPr>
            <w:r>
              <w:rPr>
                <w:rFonts w:ascii="Arial" w:cs="Arial" w:eastAsia="Arial" w:hAnsi="Arial"/>
                <w:sz w:val="14"/>
                <w:szCs w:val="14"/>
                <w:b w:val="1"/>
                <w:bCs w:val="1"/>
                <w:color w:val="auto"/>
                <w:w w:val="87"/>
              </w:rPr>
              <w:t>(dollars in millions)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Outsourcing services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294.6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270.6</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$ 24.0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Transformation services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54.7</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5.0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354.3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325.3</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$ 29.0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increase in revenues from outsourcing services of $23.9 million was primarily driven by revenues of $16.0 million from the Landacorp Acquisition and net volume increases from existing and new clients aggregating to $15.4 million. These increases were partially offset by a net decrease in revenues of $7.4 million, primarily due to the impact of the depreciation of the Indian rupee and U.K. pound sterling against the U.S. dollar during the nine months ended September 30, 2013 compared to the nine months ended September 30, 2012.</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increase in revenues from transformation services was primarily due to a combination of increased revenues in recurring or annuity decision analytics services and an increase in project-based engagements both in our decision analytics and finance transformation services. Revenues from new clients for transformation services were $2.0 million and $5.2 million during the nine months ended September 30, 2013 and 2012, respectively.</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the nine months ended September 30, 2013 and 2012, 3.9% and 4.5%, respectively, of our revenues represented telecommunication and travel-related costs billed to and reimbursed by our clients.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87"/>
              </w:rPr>
              <w:t>Nine months ended September 30,</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81"/>
              </w:rPr>
              <w:t>Change</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5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354.3</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325.3</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$ 29.0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revenues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218.9</w:t>
            </w:r>
          </w:p>
        </w:tc>
        <w:tc>
          <w:tcPr>
            <w:tcW w:w="2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201.4</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17.5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135.</w:t>
            </w:r>
            <w:r>
              <w:rPr>
                <w:rFonts w:ascii="Arial" w:cs="Arial" w:eastAsia="Arial" w:hAnsi="Arial"/>
                <w:sz w:val="18"/>
                <w:szCs w:val="18"/>
                <w:u w:val="single" w:color="auto"/>
                <w:color w:val="auto"/>
              </w:rPr>
              <w:t>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123.9</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$ 11.5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00" w:type="dxa"/>
            <w:vAlign w:val="bottom"/>
            <w:gridSpan w:val="2"/>
            <w:vMerge w:val="continue"/>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38.1%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780" w:type="dxa"/>
            <w:vAlign w:val="bottom"/>
          </w:tcPr>
          <w:p>
            <w:pPr>
              <w:jc w:val="right"/>
              <w:ind w:right="69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increase in cost of revenues was primarily due to an increase in employee-related costs of $24.3 million as a result of an increase in the number of our personnel directly involved in providing services to our clients, including $5.6 million of employee-related costs related to the Landacorp Acquisition. We also experienced an increase in facilities, technology and other operating expenses of $5.0 million (primarily due to the Landacorp Acquisition and new operations centers to support business growth). These increases were partially offset by a decrease of $0.3 million in reimbursable expenses (resulting in a decrease in revenues) and $11.5 million due to the net effect of depreciation of the Indian rupee and appreciation of the Philippine peso against the U.S. dollar during the nine months ended September 30, 2013 compared to the nine months ended September 30, 2012.</w:t>
      </w:r>
    </w:p>
    <w:p>
      <w:pPr>
        <w:spacing w:after="0" w:line="12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The marginal increase in gross profit as a percentage of revenues was primarily due to higher gross margins from the Landacorp Acquisition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depreciation of the Indian rupee against the U.S. dollar during the nine months ended September 30, 2013 compared to the nine months ended September 30, 2012. This increase was partially offset by the lower gross margins in our transformation business due to lower utilization.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SG&amp;A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2013</w:t>
            </w: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2"/>
                <w:szCs w:val="12"/>
                <w:color w:val="auto"/>
              </w:rPr>
            </w:pPr>
          </w:p>
        </w:tc>
        <w:tc>
          <w:tcPr>
            <w:tcW w:w="104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w w:val="81"/>
              </w:rPr>
              <w:t>Change</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3"/>
          </w:tcPr>
          <w:p>
            <w:pPr>
              <w:ind w:left="480"/>
              <w:spacing w:after="0" w:line="142" w:lineRule="exact"/>
              <w:rPr>
                <w:sz w:val="20"/>
                <w:szCs w:val="20"/>
                <w:color w:val="auto"/>
              </w:rPr>
            </w:pPr>
            <w:r>
              <w:rPr>
                <w:rFonts w:ascii="Arial" w:cs="Arial" w:eastAsia="Arial" w:hAnsi="Arial"/>
                <w:sz w:val="14"/>
                <w:szCs w:val="14"/>
                <w:b w:val="1"/>
                <w:bCs w:val="1"/>
                <w:color w:val="auto"/>
                <w:w w:val="90"/>
              </w:rPr>
              <w:t>(dollars in millions)</w:t>
            </w:r>
          </w:p>
        </w:tc>
        <w:tc>
          <w:tcPr>
            <w:tcW w:w="60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44.3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5"/>
              </w:rPr>
              <w:t>41.0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w w:val="85"/>
              </w:rPr>
              <w:t>27.9</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w w:val="85"/>
              </w:rPr>
              <w:t>22.5</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8"/>
                <w:szCs w:val="18"/>
                <w:color w:val="auto"/>
              </w:rPr>
              <w:t>5.4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72.</w:t>
            </w:r>
            <w:r>
              <w:rPr>
                <w:rFonts w:ascii="Arial" w:cs="Arial" w:eastAsia="Arial" w:hAnsi="Arial"/>
                <w:sz w:val="18"/>
                <w:szCs w:val="18"/>
                <w:u w:val="single" w:color="auto"/>
                <w:color w:val="auto"/>
              </w:rPr>
              <w:t>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5"/>
              </w:rPr>
              <w:t>63.5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6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1300" w:type="dxa"/>
            <w:vAlign w:val="bottom"/>
            <w:gridSpan w:val="2"/>
          </w:tcPr>
          <w:p>
            <w:pPr>
              <w:ind w:left="280"/>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increase in SG&amp;A expenses was primarily due to an increase in employee-related costs of $9.1 million, including $4.8 million of employee-related costs related to the Landacorp Acquisition. We also experienced an increase in other SG&amp;A expenses primarily due to a write off of an accounts receivable of $2.0 million acquired as a part of the Landacorp Acquisition. These increases were partially offset by the BEIP grants of $0.7 million from the New Jersey government during the nine months ended September 30, 2013 and by a decrease of $1.8 million due to the net effect of depreciation of the Indian rupee and the appreciation of the Philippine peso against the U.S. dollar during the nine months ended September 30, 2013 compared to the nine months ended September 30, 2012.</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2013</w:t>
            </w: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96"/>
              </w:rPr>
              <w:t>2012</w:t>
            </w:r>
          </w:p>
        </w:tc>
        <w:tc>
          <w:tcPr>
            <w:tcW w:w="70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3"/>
          </w:tcPr>
          <w:p>
            <w:pPr>
              <w:ind w:left="480"/>
              <w:spacing w:after="0" w:line="142" w:lineRule="exact"/>
              <w:rPr>
                <w:sz w:val="20"/>
                <w:szCs w:val="20"/>
                <w:color w:val="auto"/>
              </w:rPr>
            </w:pPr>
            <w:r>
              <w:rPr>
                <w:rFonts w:ascii="Arial" w:cs="Arial" w:eastAsia="Arial" w:hAnsi="Arial"/>
                <w:sz w:val="14"/>
                <w:szCs w:val="14"/>
                <w:b w:val="1"/>
                <w:bCs w:val="1"/>
                <w:color w:val="auto"/>
                <w:w w:val="90"/>
              </w:rPr>
              <w:t>(dollars in millions)</w:t>
            </w:r>
          </w:p>
        </w:tc>
        <w:tc>
          <w:tcPr>
            <w:tcW w:w="60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(0.6)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Intangible amortization expense</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0.7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8</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Depreciation and amortization marginally increased 0.6% from $18.7 million for the nine months ended September 30, 2012 to $18.8 million for the nine months ended September 30, 2013. The increase was primarily due to an increase in amortization of acquisition-related intangibles of $0.7 million and depreciation related to our new operations centers of $0.4 million offset by a decrease of $1.0 million due to the net effect of depreciation of the Indian rupee and the appreciation of the Philippines peso against the U.S. dollar during the nine months ended September 30, 2013 compared to the nine months ended September 30, 2012.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increased from $41.7 million for the nine months ended September 30, 2012 to $44.4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September 30, 2013. As a percentage of revenues, income from operations decreased from 12.8% for the nine months ended September 30, 2012 to 12.5% for the nine months ended September 30, 2013. The decrease in income from operations as a percentage of revenues was primarily due to higher SG&amp;A expenses as a percentage of revenues during the nine months ended September 30, 2013.</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w w:val="87"/>
              </w:rPr>
              <w:t>Nine months ended September 30,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w w:val="89"/>
              </w:rPr>
              <w:t>2012</w:t>
            </w:r>
          </w:p>
        </w:tc>
        <w:tc>
          <w:tcPr>
            <w:tcW w:w="62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(dollars in millions)</w:t>
            </w:r>
          </w:p>
        </w:tc>
        <w:tc>
          <w:tcPr>
            <w:tcW w:w="6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gains/(losses)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(0.8)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interest and other income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0.4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(0.4)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foreign exchange losses were attributable to movement of the U.S. dollar against the Indian rupee, U.K. pound sterling and the Philippine peso. The average exchange rate of the Indian rupee against the U.S. dollar increased from 53.09 during the nine months ended September 30, 2012 to 57.80 during the nine months ended September 30, 2013.</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decreased from $11.0 million for the nine months ended September 30, 2012 to $10.8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2013. The effective rate of taxes decreased from 27.0% during the nine months ended September 30, 2012 to 25.2% during the nine months ended September 30, 2013. Refer to Note 12 to the unaudited consolidated financial statements for further details.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$29.7 million for the nine months ended September 30, 2012 to $32.2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2013, primarily due to an increase in operating income of $2.8 million. As a percentage of revenues, net income remained flat at 9.1% for the nine months ended September 30, 2012 and 2013.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7"/>
              </w:rPr>
              <w:t>Nine months ended September 30,</w:t>
            </w:r>
          </w:p>
        </w:tc>
      </w:tr>
      <w:tr>
        <w:trPr>
          <w:trHeight w:val="142"/>
        </w:trPr>
        <w:tc>
          <w:tcPr>
            <w:tcW w:w="70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r>
      <w:tr>
        <w:trPr>
          <w:trHeight w:val="142"/>
        </w:trPr>
        <w:tc>
          <w:tcPr>
            <w:tcW w:w="7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Opening cash and cash equivalents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Closing cash and cash equivalents</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As of September 30, 2013, we had $138.5 million in cash and cash equivalents and short-term investments (including $70.5 million held by our foreign subsidiaries). We do not intend to repatriate our overseas funds since our future growth partially depends upon the continued infrastructure and technology investments, geographical expansions and acquisitions made outside of the U.S. Therefore, we need to continuously and permanently reinvest the earnings generated outside of the U.S. If we were to repatriate our overseas funds, we would accrue and pay applicable taxes.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flows provided by operating activities increased from $43.4 million for the nine months ended September 30, 2012 to $44.2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 months ended September 30, 2013. The increase in cash flows provided by operations for the nine months ended September 30, 2013 was predominantly due to a net increase in working capital of $4.5 million which was partially offset by a decrease in net income adjusted for non-cash items of $3.6 million. The decrease in net income adjusted for non-cash items is primarily due to an unrealized foreign exchange gain of $8.3 million which was partially offset by an increase in net income of $2.6 million and stock-based compensation expense of $2.1 million.</w:t>
      </w:r>
    </w:p>
    <w:p>
      <w:pPr>
        <w:spacing w:after="0" w:line="11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Changes in operating assets and liabilities were primarily due to an increase in cash provided by accounts receivable of $8.3 million partially offset by decrease in cash paid for accrued expenses and other liabilities of $1.4 million, accrued employee cost of $1.9 million and accounts payable of $1.0 million during the nine months ended September 30, 2013 compared to the nine months ended September 30, 2012. Our days’ sales outstanding were 54 days as of September 30, 2013 compared to 56 days as of December 31, 2012.</w:t>
      </w:r>
    </w:p>
    <w:p>
      <w:pPr>
        <w:spacing w:after="0" w:line="14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used for investing activities decreased from $16.0 million for the nine months ended September 30, 2012 to $13.6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2013. The decrease was primarily due to a decrease in capital expenditure of $5.3 million partially offset by payment of working capital adjustment for the Landacorp Acquisition of $1.2 million during the nine months ended September 30, 2013 compared to the nine months ended September 30, 2012.</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flows provided by financing activities decreased from $7.3 million for the nine months ended September 30, 2012 to $3.0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 months ended September 30, 2013. The decrease was primarily due to proceeds from the exercise of stock options of $4.6 million during the nine months ended September 30, 2013 compared to $8.9 million during the nine months ended September 30, 2012.</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our client operations. We incurred $11.7 million of capital expenditures in the nine months ended September 30, 2013. We expect to incur capital expenditures of between $3 million to $5 million in the remainder of 2013, primarily to meet the growth requirements of our clients, including additions to our facilities as well as investments in technology applications and infrastructure. The timing and volume of such capital expenditures in the future will be affected by new client contracts we may enter into or the expansion of business under our existing client contracts.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firstLine="456"/>
        <w:spacing w:after="0" w:line="370" w:lineRule="auto"/>
        <w:rPr>
          <w:sz w:val="20"/>
          <w:szCs w:val="20"/>
          <w:color w:val="auto"/>
        </w:rPr>
      </w:pPr>
      <w:r>
        <w:rPr>
          <w:rFonts w:ascii="Arial" w:cs="Arial" w:eastAsia="Arial" w:hAnsi="Arial"/>
          <w:sz w:val="15"/>
          <w:szCs w:val="15"/>
          <w:color w:val="auto"/>
        </w:rPr>
        <w:t>In connection with any tax assessment orders that have been issued or may be issued against us or our subsidiaries, we may be required to deposit additional amounts with respect to such assessment orders. Refer to Note 15 to our unaudited consolidated financial statements for further details.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May 26, 2011, we entered into a three-year credit agreement with certain lenders and JPMorgan Chase Bank, N.A., as Administrative Agent. Borrowings under the Credit Facility may be used for working capital and general corporate purposes. Originally a $50.0 million revolving facility (the “Credit Facility”), including a letter of credit sub-facility, the availability under the Credit Facility was reduced to $15.0 million in June 2012. Upon our request, however, and the fulfillment of certain conditions, the Credit Facility may be increased back to $50.0 million. As of September 30, 2013, we did not have any borrowings under the Credit Facility.</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and December 31, 2012, we had no off-balance sheet arrangements or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September 30,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86"/>
              </w:rPr>
              <w:t>Payment Due by Period</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1-3</w:t>
            </w: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4-5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1 year</w:t>
            </w:r>
          </w:p>
        </w:tc>
        <w:tc>
          <w:tcPr>
            <w:tcW w:w="1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years</w:t>
            </w:r>
          </w:p>
        </w:tc>
        <w:tc>
          <w:tcPr>
            <w:tcW w:w="140" w:type="dxa"/>
            <w:vAlign w:val="bottom"/>
          </w:tcPr>
          <w:p>
            <w:pPr>
              <w:spacing w:after="0"/>
              <w:rPr>
                <w:sz w:val="14"/>
                <w:szCs w:val="14"/>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2"/>
              </w:rPr>
              <w:t>5 years</w:t>
            </w:r>
          </w:p>
        </w:tc>
        <w:tc>
          <w:tcPr>
            <w:tcW w:w="140" w:type="dxa"/>
            <w:vAlign w:val="bottom"/>
          </w:tcPr>
          <w:p>
            <w:pPr>
              <w:spacing w:after="0"/>
              <w:rPr>
                <w:sz w:val="14"/>
                <w:szCs w:val="14"/>
                <w:color w:val="auto"/>
              </w:rPr>
            </w:pPr>
          </w:p>
        </w:tc>
        <w:tc>
          <w:tcPr>
            <w:tcW w:w="5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6"/>
          </w:tcPr>
          <w:p>
            <w:pPr>
              <w:ind w:left="160"/>
              <w:spacing w:after="0" w:line="155" w:lineRule="exact"/>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12.1</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1"/>
                <w:szCs w:val="11"/>
                <w:color w:val="auto"/>
              </w:rPr>
              <w:t>(a)</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1"/>
                <w:szCs w:val="11"/>
                <w:color w:val="auto"/>
              </w:rPr>
              <w:t>(b)</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16.6</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estimated payments under the Company’s Gratuity Plan.</w:t>
      </w:r>
    </w:p>
    <w:p>
      <w:pPr>
        <w:spacing w:after="0" w:line="15" w:lineRule="exact"/>
        <w:rPr>
          <w:rFonts w:ascii="Arial" w:cs="Arial" w:eastAsia="Arial" w:hAnsi="Arial"/>
          <w:sz w:val="18"/>
          <w:szCs w:val="18"/>
          <w:color w:val="auto"/>
        </w:rPr>
      </w:pPr>
    </w:p>
    <w:p>
      <w:pPr>
        <w:ind w:left="460" w:right="6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$2.8 million related to uncertain tax positions, since the extent of the amount and timing of payment is currently not reliably estimable or determinable.</w:t>
      </w:r>
    </w:p>
    <w:p>
      <w:pPr>
        <w:spacing w:after="0" w:line="13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Certain units of our Indian subsidiaries were established as 100% Export-Oriented units under the Software Technology Parks of India (“STPI”) scheme promulgated by the Government of India, which provides certain incentives on imported and indigenous capital goods upon the fulfillment of certain conditions. Although the corporate tax incentives under the STPI scheme are no longer available to us, the units are required to fulfill such conditions for a limited time. In the event that these units are unable to meet those conditions over the specified period, we may be required to refund those incentives along with penalties and fines. We believe, however, that these units have in the past satisfied and will continue to satisfy the required conditions.</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operations centers in the Philippines are registered with the Philippine Economic Zone Authority (“PEZA”). The registration provides us with certain fiscal incentives on the import of capital goods and requires that Exl Philippines meet certain performance and investment criteria. We believe that these centers have in the past satisfied and will continue to satisfy the required criteria.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description of recent accounting pronouncements, see Note 2 — “Recent Accounting Pronouncements” under Item 1 —“Financial Statements” to our unaudited consolidated financial statements.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nine months ended September 30, 2013,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2012.</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to allow timely decisions regarding required financial disclosure. In connection with the preparation of this Quarterly Report on Form 10-Q, our management carried out an evaluation, under the supervision and with the participation of the CEO and CFO, of the effectiveness and operation of our disclosure controls and procedures as of September 30, 2013. Based upon that evaluation, the CEO and CFO have concluded that, as of September 30, 2013, our disclosure controls and procedures were effective.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During the nine months ended September 30, 2013,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15 to our unaudited consolidated financial statements contained herein for details regarding our tax proceedings.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disclosed under the heading “Risk Factors” in our Annual Report on Form 10-K for the year ended December 31, 2012 a number of risks which may materially affect our business, financial condition or results of operations. You should carefully consider the “Risk Factors” set forth in our Annual Report on Form 10-K for the year ended December 31, 2012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1400" w:type="dxa"/>
            <w:vAlign w:val="bottom"/>
            <w:gridSpan w:val="2"/>
          </w:tcPr>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Chief Executive Officer of ExlService Holdings, pursuant to Rule 13a-14 of the Exchange Act, as adopted pursuant to Section</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302 of the Sarbanes-Oxley Act of 2002.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Chief Financial Officer of ExlService Holdings, pursuant to Rule 13a-14 of the Exchange Act, as adopted pursuant to Section</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302 of the Sarbanes-Oxley Act of 2002.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Chief Executive Officer pursuant to Rule 13a-14(b) of the Exchange Act and 18 U.S.C. Section 1350, as adopted pursuant to</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Chief Financial Officer pursuant to Rule 13a-14(b) of the Exchange Act and 18 U.S.C. Section 1350, as adopted pursuant to</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Section 906 of the Sarbanes-Oxley Act of 2002.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460" w:right="10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Exchange Act (15 U.S.C. 78r) or otherwise subject to the liability of that section. Such exhibit will not be deemed to be incorporated by reference into any filing under the Securities Act of 1933, as amended, or the Exchange Act, except to the extent that the Company specifically incorporates it by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November 06, 2013</w:t>
      </w:r>
      <w:r>
        <w:rPr>
          <w:sz w:val="20"/>
          <w:szCs w:val="20"/>
          <w:color w:val="auto"/>
        </w:rPr>
        <w:tab/>
      </w: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4"/>
          <w:szCs w:val="14"/>
          <w:b w:val="1"/>
          <w:bCs w:val="1"/>
          <w:color w:val="auto"/>
        </w:rPr>
        <w:t>Vishal Chhibbar</w:t>
      </w:r>
    </w:p>
    <w:p>
      <w:pPr>
        <w:ind w:left="6280"/>
        <w:spacing w:after="0" w:line="223" w:lineRule="auto"/>
        <w:rPr>
          <w:sz w:val="20"/>
          <w:szCs w:val="20"/>
          <w:color w:val="auto"/>
        </w:rPr>
      </w:pPr>
      <w:r>
        <w:rPr>
          <w:rFonts w:ascii="Arial" w:cs="Arial" w:eastAsia="Arial" w:hAnsi="Arial"/>
          <w:sz w:val="14"/>
          <w:szCs w:val="14"/>
          <w:b w:val="1"/>
          <w:bCs w:val="1"/>
          <w:color w:val="auto"/>
        </w:rPr>
        <w:t>Executive Vice President and</w:t>
      </w:r>
    </w:p>
    <w:p>
      <w:pPr>
        <w:ind w:left="6280"/>
        <w:spacing w:after="0" w:line="222" w:lineRule="auto"/>
        <w:rPr>
          <w:sz w:val="20"/>
          <w:szCs w:val="20"/>
          <w:color w:val="auto"/>
        </w:rPr>
      </w:pPr>
      <w:r>
        <w:rPr>
          <w:rFonts w:ascii="Arial" w:cs="Arial" w:eastAsia="Arial" w:hAnsi="Arial"/>
          <w:sz w:val="14"/>
          <w:szCs w:val="14"/>
          <w:b w:val="1"/>
          <w:bCs w:val="1"/>
          <w:color w:val="auto"/>
        </w:rPr>
        <w:t>Chief Financial Officer</w:t>
      </w:r>
    </w:p>
    <w:p>
      <w:pPr>
        <w:ind w:left="6280"/>
        <w:spacing w:after="0" w:line="221" w:lineRule="auto"/>
        <w:rPr>
          <w:sz w:val="20"/>
          <w:szCs w:val="20"/>
          <w:color w:val="auto"/>
        </w:rPr>
      </w:pPr>
      <w:r>
        <w:rPr>
          <w:rFonts w:ascii="Arial" w:cs="Arial" w:eastAsia="Arial" w:hAnsi="Arial"/>
          <w:sz w:val="14"/>
          <w:szCs w:val="14"/>
          <w:b w:val="1"/>
          <w:bCs w:val="1"/>
          <w:color w:val="auto"/>
        </w:rPr>
        <w:t>(Duly Authorized Signatory, Principal</w:t>
      </w:r>
    </w:p>
    <w:p>
      <w:pPr>
        <w:ind w:left="6280"/>
        <w:spacing w:after="0"/>
        <w:rPr>
          <w:sz w:val="20"/>
          <w:szCs w:val="20"/>
          <w:color w:val="auto"/>
        </w:rPr>
      </w:pPr>
      <w:r>
        <w:rPr>
          <w:rFonts w:ascii="Arial" w:cs="Arial" w:eastAsia="Arial" w:hAnsi="Arial"/>
          <w:sz w:val="14"/>
          <w:szCs w:val="14"/>
          <w:b w:val="1"/>
          <w:bCs w:val="1"/>
          <w:color w:val="auto"/>
        </w:rPr>
        <w:t>Financial and Accounting Officer)</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sz w:val="20"/>
          <w:szCs w:val="20"/>
          <w:color w:val="auto"/>
        </w:rPr>
      </w:pPr>
    </w:p>
    <w:p>
      <w:pPr>
        <w:ind w:left="460" w:right="14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06,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Rohit Kapoor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Vice Chairman and Chief Executive Officer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06,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Vishal Chhibbar</w:t>
      </w:r>
    </w:p>
    <w:p>
      <w:pPr>
        <w:spacing w:after="0" w:line="223" w:lineRule="auto"/>
        <w:rPr>
          <w:sz w:val="20"/>
          <w:szCs w:val="20"/>
          <w:color w:val="auto"/>
        </w:rPr>
      </w:pPr>
      <w:r>
        <w:rPr>
          <w:rFonts w:ascii="Arial" w:cs="Arial" w:eastAsia="Arial" w:hAnsi="Arial"/>
          <w:sz w:val="14"/>
          <w:szCs w:val="14"/>
          <w:b w:val="1"/>
          <w:bCs w:val="1"/>
          <w:color w:val="auto"/>
        </w:rPr>
        <w:t>Executive Vice President and</w:t>
      </w:r>
    </w:p>
    <w:p>
      <w:pPr>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ended September 30, 2013, as filed with the Securities and Exchange Commission on the date hereof (the “Report”), I, Rohit Kapoor, Vice Chairman and Chief Executive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Rohit Kapoor</w:t>
      </w:r>
    </w:p>
    <w:p>
      <w:pPr>
        <w:spacing w:after="0" w:line="223" w:lineRule="auto"/>
        <w:rPr>
          <w:sz w:val="20"/>
          <w:szCs w:val="20"/>
          <w:color w:val="auto"/>
        </w:rPr>
      </w:pPr>
      <w:r>
        <w:rPr>
          <w:rFonts w:ascii="Arial" w:cs="Arial" w:eastAsia="Arial" w:hAnsi="Arial"/>
          <w:sz w:val="14"/>
          <w:szCs w:val="14"/>
          <w:b w:val="1"/>
          <w:bCs w:val="1"/>
          <w:color w:val="auto"/>
        </w:rPr>
        <w:t>Vice Chairman and</w:t>
      </w:r>
    </w:p>
    <w:p>
      <w:pPr>
        <w:spacing w:after="0"/>
        <w:rPr>
          <w:sz w:val="20"/>
          <w:szCs w:val="20"/>
          <w:color w:val="auto"/>
        </w:rPr>
      </w:pPr>
      <w:r>
        <w:rPr>
          <w:rFonts w:ascii="Arial" w:cs="Arial" w:eastAsia="Arial" w:hAnsi="Arial"/>
          <w:sz w:val="14"/>
          <w:szCs w:val="14"/>
          <w:b w:val="1"/>
          <w:bCs w:val="1"/>
          <w:color w:val="auto"/>
        </w:rPr>
        <w:t>Chief Executive Officer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06, 2013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ended September 30, 2013, as filed with the Securities and Exchange Commission on the date hereof (the “Report”), I, Vishal Chhibbar, Executive Vice President and Chief Financial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Vishal Chhibbar</w:t>
      </w:r>
    </w:p>
    <w:p>
      <w:pPr>
        <w:spacing w:after="0" w:line="223" w:lineRule="auto"/>
        <w:rPr>
          <w:sz w:val="20"/>
          <w:szCs w:val="20"/>
          <w:color w:val="auto"/>
        </w:rPr>
      </w:pPr>
      <w:r>
        <w:rPr>
          <w:rFonts w:ascii="Arial" w:cs="Arial" w:eastAsia="Arial" w:hAnsi="Arial"/>
          <w:sz w:val="14"/>
          <w:szCs w:val="14"/>
          <w:b w:val="1"/>
          <w:bCs w:val="1"/>
          <w:color w:val="auto"/>
        </w:rPr>
        <w:t>Executive Vice President and</w:t>
      </w:r>
    </w:p>
    <w:p>
      <w:pPr>
        <w:spacing w:after="0"/>
        <w:rPr>
          <w:sz w:val="20"/>
          <w:szCs w:val="20"/>
          <w:color w:val="auto"/>
        </w:rPr>
      </w:pPr>
      <w:r>
        <w:rPr>
          <w:rFonts w:ascii="Arial" w:cs="Arial" w:eastAsia="Arial" w:hAnsi="Arial"/>
          <w:sz w:val="14"/>
          <w:szCs w:val="14"/>
          <w:b w:val="1"/>
          <w:bCs w:val="1"/>
          <w:color w:val="auto"/>
        </w:rPr>
        <w:t>Chief Financial Officer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06, 2013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5"/>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3"/>
      <w:numFmt w:val="bullet"/>
      <w:start w:val="1"/>
    </w:lvl>
  </w:abstractNum>
  <w:abstractNum w:abstractNumId="14">
    <w:nsid w:val="4E6AFB66"/>
    <w:multiLevelType w:val="hybridMultilevel"/>
    <w:lvl w:ilvl="0">
      <w:lvlJc w:val="left"/>
      <w:lvlText w:val="%1."/>
      <w:numFmt w:val="decimal"/>
      <w:start w:val="4"/>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2019-12-07T08:16:45Z</dcterms:created>
  <dcterms:modified xsi:type="dcterms:W3CDTF">2019-12-07T08:16:45Z</dcterms:modified>
</cp:coreProperties>
</file>