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8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858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FINANCIAL TECHNOLOGY</w:t>
              </w:r>
            </w:hyperlink>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gridSpan w:val="7"/>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00" w:type="dxa"/>
            <w:vAlign w:val="bottom"/>
            <w:gridSpan w:val="7"/>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Borders>
              <w:top w:val="single" w:sz="8" w:color="0000EE"/>
            </w:tcBorders>
            <w:gridSpan w:val="5"/>
            <w:vMerge w:val="restart"/>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MANAGEMENT II, LLC</w:t>
              </w:r>
            </w:hyperlink>
          </w:p>
        </w:tc>
        <w:tc>
          <w:tcPr>
            <w:tcW w:w="16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300"/>
              <w:spacing w:after="0" w:line="102" w:lineRule="exact"/>
              <w:rPr>
                <w:sz w:val="20"/>
                <w:szCs w:val="20"/>
                <w:color w:val="auto"/>
              </w:rPr>
            </w:pPr>
            <w:r>
              <w:rPr>
                <w:rFonts w:ascii="Arial" w:cs="Arial" w:eastAsia="Arial" w:hAnsi="Arial"/>
                <w:sz w:val="11"/>
                <w:szCs w:val="11"/>
                <w:color w:val="auto"/>
              </w:rPr>
              <w:t>below)</w:t>
            </w:r>
          </w:p>
        </w:tc>
        <w:tc>
          <w:tcPr>
            <w:tcW w:w="30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440" w:type="dxa"/>
            <w:vAlign w:val="bottom"/>
            <w:gridSpan w:val="2"/>
            <w:vMerge w:val="restart"/>
          </w:tcPr>
          <w:p>
            <w:pPr>
              <w:ind w:left="20"/>
              <w:spacing w:after="0" w:line="102"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3"/>
            <w:vMerge w:val="restart"/>
          </w:tcPr>
          <w:p>
            <w:pPr>
              <w:ind w:left="240"/>
              <w:spacing w:after="0"/>
              <w:rPr>
                <w:sz w:val="20"/>
                <w:szCs w:val="20"/>
                <w:color w:val="auto"/>
              </w:rPr>
            </w:pPr>
            <w:r>
              <w:rPr>
                <w:rFonts w:ascii="Arial" w:cs="Arial" w:eastAsia="Arial" w:hAnsi="Arial"/>
                <w:sz w:val="18"/>
                <w:szCs w:val="18"/>
                <w:color w:val="0000FF"/>
                <w:w w:val="82"/>
              </w:rPr>
              <w:t>See Footnote 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05/16/2007</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gridSpan w:val="7"/>
          </w:tcPr>
          <w:p>
            <w:pPr>
              <w:spacing w:after="0"/>
              <w:rPr>
                <w:sz w:val="20"/>
                <w:szCs w:val="20"/>
                <w:color w:val="auto"/>
              </w:rPr>
            </w:pPr>
            <w:r>
              <w:rPr>
                <w:rFonts w:ascii="Arial" w:cs="Arial" w:eastAsia="Arial" w:hAnsi="Arial"/>
                <w:sz w:val="18"/>
                <w:szCs w:val="18"/>
                <w:color w:val="0000FF"/>
                <w:w w:val="94"/>
              </w:rPr>
              <w:t>555 CALIFORNIA STREET, SUITE 2900</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500" w:type="dxa"/>
            <w:vAlign w:val="bottom"/>
            <w:tcBorders>
              <w:bottom w:val="single" w:sz="8" w:color="2C2C2C"/>
            </w:tcBorders>
            <w:gridSpan w:val="6"/>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gridSpan w:val="2"/>
          </w:tcPr>
          <w:p>
            <w:pPr>
              <w:spacing w:after="0"/>
              <w:rPr>
                <w:sz w:val="13"/>
                <w:szCs w:val="13"/>
                <w:color w:val="auto"/>
              </w:rPr>
            </w:pPr>
          </w:p>
        </w:tc>
        <w:tc>
          <w:tcPr>
            <w:tcW w:w="3100" w:type="dxa"/>
            <w:vAlign w:val="bottom"/>
            <w:tcBorders>
              <w:bottom w:val="single" w:sz="8" w:color="2C2C2C"/>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2"/>
                <w:szCs w:val="2"/>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6"/>
            <w:vMerge w:val="continue"/>
          </w:tcPr>
          <w:p>
            <w:pPr>
              <w:spacing w:after="0"/>
              <w:rPr>
                <w:sz w:val="12"/>
                <w:szCs w:val="12"/>
                <w:color w:val="auto"/>
              </w:rPr>
            </w:pPr>
          </w:p>
        </w:tc>
        <w:tc>
          <w:tcPr>
            <w:tcW w:w="400" w:type="dxa"/>
            <w:vAlign w:val="bottom"/>
          </w:tcPr>
          <w:p>
            <w:pPr>
              <w:spacing w:after="0"/>
              <w:rPr>
                <w:sz w:val="12"/>
                <w:szCs w:val="12"/>
                <w:color w:val="auto"/>
              </w:rPr>
            </w:pPr>
          </w:p>
        </w:tc>
        <w:tc>
          <w:tcPr>
            <w:tcW w:w="344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4"/>
          </w:tcPr>
          <w:p>
            <w:pPr>
              <w:ind w:left="80"/>
              <w:spacing w:after="0" w:line="141"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vMerge w:val="restart"/>
          </w:tcPr>
          <w:p>
            <w:pPr>
              <w:spacing w:after="0"/>
              <w:rPr>
                <w:sz w:val="20"/>
                <w:szCs w:val="20"/>
                <w:color w:val="auto"/>
              </w:rPr>
            </w:pPr>
            <w:r>
              <w:rPr>
                <w:rFonts w:ascii="Arial" w:cs="Arial" w:eastAsia="Arial" w:hAnsi="Arial"/>
                <w:sz w:val="18"/>
                <w:szCs w:val="18"/>
                <w:color w:val="0000FF"/>
              </w:rPr>
              <w:t>94104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9"/>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20" w:type="dxa"/>
            <w:vAlign w:val="bottom"/>
            <w:gridSpan w:val="8"/>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320"/>
              <w:spacing w:after="0" w:line="102" w:lineRule="exact"/>
              <w:rPr>
                <w:sz w:val="20"/>
                <w:szCs w:val="20"/>
                <w:color w:val="auto"/>
              </w:rPr>
            </w:pPr>
            <w:r>
              <w:rPr>
                <w:rFonts w:ascii="Arial" w:cs="Arial" w:eastAsia="Arial" w:hAnsi="Arial"/>
                <w:sz w:val="11"/>
                <w:szCs w:val="11"/>
                <w:color w:val="auto"/>
              </w:rPr>
              <w:t>Person</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gridSpan w:val="2"/>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0"/>
          </w:tcPr>
          <w:p>
            <w:pPr>
              <w:jc w:val="center"/>
              <w:ind w:left="1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26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8"/>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5"/>
          </w:tcPr>
          <w:p>
            <w:pPr>
              <w:jc w:val="right"/>
              <w:ind w:right="75"/>
              <w:spacing w:after="0"/>
              <w:rPr>
                <w:sz w:val="20"/>
                <w:szCs w:val="20"/>
                <w:color w:val="auto"/>
              </w:rPr>
            </w:pPr>
            <w:r>
              <w:rPr>
                <w:rFonts w:ascii="Arial" w:cs="Arial" w:eastAsia="Arial" w:hAnsi="Arial"/>
                <w:sz w:val="18"/>
                <w:szCs w:val="18"/>
                <w:color w:val="0000FF"/>
              </w:rPr>
              <w:t>05/16/2007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ind w:right="258"/>
              <w:spacing w:after="0"/>
              <w:rPr>
                <w:sz w:val="20"/>
                <w:szCs w:val="20"/>
                <w:color w:val="auto"/>
              </w:rPr>
            </w:pPr>
            <w:r>
              <w:rPr>
                <w:rFonts w:ascii="Arial" w:cs="Arial" w:eastAsia="Arial" w:hAnsi="Arial"/>
                <w:sz w:val="14"/>
                <w:szCs w:val="14"/>
                <w:color w:val="0000FF"/>
                <w:w w:val="85"/>
              </w:rPr>
              <w:t>S</w:t>
            </w:r>
          </w:p>
        </w:tc>
        <w:tc>
          <w:tcPr>
            <w:tcW w:w="780" w:type="dxa"/>
            <w:vAlign w:val="bottom"/>
          </w:tcPr>
          <w:p>
            <w:pPr>
              <w:jc w:val="right"/>
              <w:spacing w:after="0"/>
              <w:rPr>
                <w:sz w:val="20"/>
                <w:szCs w:val="20"/>
                <w:color w:val="auto"/>
              </w:rPr>
            </w:pPr>
            <w:r>
              <w:rPr>
                <w:rFonts w:ascii="Arial" w:cs="Arial" w:eastAsia="Arial" w:hAnsi="Arial"/>
                <w:sz w:val="18"/>
                <w:szCs w:val="18"/>
                <w:color w:val="0000FF"/>
              </w:rPr>
              <w:t>944,415</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w:t>
            </w:r>
          </w:p>
        </w:tc>
        <w:tc>
          <w:tcPr>
            <w:tcW w:w="20" w:type="dxa"/>
            <w:vAlign w:val="bottom"/>
          </w:tcPr>
          <w:p>
            <w:pPr>
              <w:spacing w:after="0"/>
              <w:rPr>
                <w:sz w:val="18"/>
                <w:szCs w:val="18"/>
                <w:color w:val="auto"/>
              </w:rPr>
            </w:pPr>
          </w:p>
        </w:tc>
        <w:tc>
          <w:tcPr>
            <w:tcW w:w="1360" w:type="dxa"/>
            <w:vAlign w:val="bottom"/>
            <w:gridSpan w:val="3"/>
          </w:tcPr>
          <w:p>
            <w:pPr>
              <w:jc w:val="right"/>
              <w:ind w:right="297"/>
              <w:spacing w:after="0"/>
              <w:rPr>
                <w:sz w:val="20"/>
                <w:szCs w:val="20"/>
                <w:color w:val="auto"/>
              </w:rPr>
            </w:pPr>
            <w:r>
              <w:rPr>
                <w:rFonts w:ascii="Arial" w:cs="Arial" w:eastAsia="Arial" w:hAnsi="Arial"/>
                <w:sz w:val="18"/>
                <w:szCs w:val="18"/>
                <w:color w:val="0000FF"/>
              </w:rPr>
              <w:t>581,107</w:t>
            </w:r>
          </w:p>
        </w:tc>
        <w:tc>
          <w:tcPr>
            <w:tcW w:w="3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Ventures II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(Q), 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8"/>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5"/>
          </w:tcPr>
          <w:p>
            <w:pPr>
              <w:jc w:val="right"/>
              <w:ind w:right="75"/>
              <w:spacing w:after="0"/>
              <w:rPr>
                <w:sz w:val="20"/>
                <w:szCs w:val="20"/>
                <w:color w:val="auto"/>
              </w:rPr>
            </w:pPr>
            <w:r>
              <w:rPr>
                <w:rFonts w:ascii="Arial" w:cs="Arial" w:eastAsia="Arial" w:hAnsi="Arial"/>
                <w:sz w:val="18"/>
                <w:szCs w:val="18"/>
                <w:color w:val="0000FF"/>
              </w:rPr>
              <w:t>05/16/2007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ind w:right="258"/>
              <w:spacing w:after="0"/>
              <w:rPr>
                <w:sz w:val="20"/>
                <w:szCs w:val="20"/>
                <w:color w:val="auto"/>
              </w:rPr>
            </w:pPr>
            <w:r>
              <w:rPr>
                <w:rFonts w:ascii="Arial" w:cs="Arial" w:eastAsia="Arial" w:hAnsi="Arial"/>
                <w:sz w:val="14"/>
                <w:szCs w:val="14"/>
                <w:color w:val="0000FF"/>
                <w:w w:val="85"/>
              </w:rPr>
              <w:t>S</w:t>
            </w:r>
          </w:p>
        </w:tc>
        <w:tc>
          <w:tcPr>
            <w:tcW w:w="780" w:type="dxa"/>
            <w:vAlign w:val="bottom"/>
          </w:tcPr>
          <w:p>
            <w:pPr>
              <w:jc w:val="right"/>
              <w:ind w:right="72"/>
              <w:spacing w:after="0"/>
              <w:rPr>
                <w:sz w:val="20"/>
                <w:szCs w:val="20"/>
                <w:color w:val="auto"/>
              </w:rPr>
            </w:pPr>
            <w:r>
              <w:rPr>
                <w:rFonts w:ascii="Arial" w:cs="Arial" w:eastAsia="Arial" w:hAnsi="Arial"/>
                <w:sz w:val="18"/>
                <w:szCs w:val="18"/>
                <w:color w:val="0000FF"/>
              </w:rPr>
              <w:t>5,610</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w:t>
            </w:r>
          </w:p>
        </w:tc>
        <w:tc>
          <w:tcPr>
            <w:tcW w:w="20" w:type="dxa"/>
            <w:vAlign w:val="bottom"/>
          </w:tcPr>
          <w:p>
            <w:pPr>
              <w:spacing w:after="0"/>
              <w:rPr>
                <w:sz w:val="18"/>
                <w:szCs w:val="18"/>
                <w:color w:val="auto"/>
              </w:rPr>
            </w:pPr>
          </w:p>
        </w:tc>
        <w:tc>
          <w:tcPr>
            <w:tcW w:w="1360" w:type="dxa"/>
            <w:vAlign w:val="bottom"/>
            <w:gridSpan w:val="3"/>
          </w:tcPr>
          <w:p>
            <w:pPr>
              <w:jc w:val="right"/>
              <w:ind w:right="397"/>
              <w:spacing w:after="0"/>
              <w:rPr>
                <w:sz w:val="20"/>
                <w:szCs w:val="20"/>
                <w:color w:val="auto"/>
              </w:rPr>
            </w:pPr>
            <w:r>
              <w:rPr>
                <w:rFonts w:ascii="Arial" w:cs="Arial" w:eastAsia="Arial" w:hAnsi="Arial"/>
                <w:sz w:val="18"/>
                <w:szCs w:val="18"/>
                <w:color w:val="0000FF"/>
              </w:rPr>
              <w:t>3,452</w:t>
            </w:r>
          </w:p>
        </w:tc>
        <w:tc>
          <w:tcPr>
            <w:tcW w:w="3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7"/>
              </w:rPr>
              <w:t>Ventures II,</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8"/>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6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Financial Technology Management II, LLC ("FTM") is the general partner of Financial Technology Ventures II (Q), L.P. ("FTVQ") and Financial Technology Ventures II, L.P. ("FTV"). Pursuant to Rule 16a-1(a)(2)(ii)(B) under the Securities Exchange Act of 1934, as amended (the "Act"), FTM is deemed to be a beneficial owner of the securities owned by FTVQ and FTV only to the extent of the greater of its respective direct or indirect interest in the profits or capital account of FTVQ and FTV. Pursuant to Rule 16a-1(a)(4) under the Act, this filing shall not be deemed an admission that FTM is, for purposes of Section 16 of the Act or otherwise, the beneficial owner of any securities owned by FTVQ or FTV in excess of such amount.</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Richard N. Garman</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05/18/2007</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91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2019-12-16T21:27:29Z</dcterms:created>
  <dcterms:modified xsi:type="dcterms:W3CDTF">2019-12-16T21:27:29Z</dcterms:modified>
</cp:coreProperties>
</file>