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255905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4"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4" w:lineRule="exact"/>
        <w:rPr>
          <w:sz w:val="24"/>
          <w:szCs w:val="24"/>
          <w:color w:val="auto"/>
        </w:rPr>
      </w:pPr>
    </w:p>
    <w:p>
      <w:pPr>
        <w:ind w:left="300" w:hanging="275"/>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0" w:lineRule="exact"/>
        <w:rPr>
          <w:sz w:val="24"/>
          <w:szCs w:val="24"/>
          <w:color w:val="auto"/>
        </w:rPr>
      </w:pPr>
    </w:p>
    <w:p>
      <w:pPr>
        <w:ind w:left="300" w:hanging="275"/>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3" w:lineRule="exact"/>
        <w:rPr>
          <w:sz w:val="24"/>
          <w:szCs w:val="24"/>
          <w:color w:val="auto"/>
        </w:rPr>
      </w:pPr>
    </w:p>
    <w:p>
      <w:pPr>
        <w:ind w:left="316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3918585</wp:posOffset>
            </wp:positionH>
            <wp:positionV relativeFrom="paragraph">
              <wp:posOffset>-4445</wp:posOffset>
            </wp:positionV>
            <wp:extent cx="1214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2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23" w:lineRule="exact"/>
        <w:rPr>
          <w:sz w:val="24"/>
          <w:szCs w:val="24"/>
          <w:color w:val="auto"/>
        </w:rPr>
      </w:pPr>
    </w:p>
    <w:tbl>
      <w:tblPr>
        <w:tblLayout w:type="fixed"/>
        <w:tblInd w:w="330" w:type="dxa"/>
        <w:tblCellMar>
          <w:top w:w="0" w:type="dxa"/>
          <w:left w:w="0" w:type="dxa"/>
          <w:bottom w:w="0" w:type="dxa"/>
          <w:right w:w="0" w:type="dxa"/>
        </w:tblCellMar>
      </w:tblPr>
      <w:tr>
        <w:trPr>
          <w:trHeight w:val="205"/>
        </w:trPr>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gridSpan w:val="2"/>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jc w:val="right"/>
              <w:ind w:right="2024"/>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580" w:type="dxa"/>
            <w:vAlign w:val="bottom"/>
          </w:tcPr>
          <w:p>
            <w:pPr>
              <w:spacing w:after="0"/>
              <w:rPr>
                <w:sz w:val="17"/>
                <w:szCs w:val="17"/>
                <w:color w:val="auto"/>
              </w:rPr>
            </w:pPr>
          </w:p>
        </w:tc>
      </w:tr>
      <w:tr>
        <w:trPr>
          <w:trHeight w:val="147"/>
        </w:trPr>
        <w:tc>
          <w:tcPr>
            <w:tcW w:w="1340" w:type="dxa"/>
            <w:vAlign w:val="bottom"/>
          </w:tcPr>
          <w:p>
            <w:pPr>
              <w:spacing w:after="0"/>
              <w:rPr>
                <w:sz w:val="12"/>
                <w:szCs w:val="12"/>
                <w:color w:val="auto"/>
              </w:rPr>
            </w:pPr>
          </w:p>
        </w:tc>
        <w:tc>
          <w:tcPr>
            <w:tcW w:w="328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3"/>
          </w:tcPr>
          <w:p>
            <w:pPr>
              <w:jc w:val="center"/>
              <w:ind w:right="2460"/>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1340" w:type="dxa"/>
            <w:vAlign w:val="bottom"/>
          </w:tcPr>
          <w:p>
            <w:pPr>
              <w:spacing w:after="0"/>
              <w:rPr>
                <w:sz w:val="16"/>
                <w:szCs w:val="16"/>
                <w:color w:val="auto"/>
              </w:rPr>
            </w:pPr>
          </w:p>
        </w:tc>
        <w:tc>
          <w:tcPr>
            <w:tcW w:w="32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3"/>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6"/>
        </w:trPr>
        <w:tc>
          <w:tcPr>
            <w:tcW w:w="1340" w:type="dxa"/>
            <w:vAlign w:val="bottom"/>
          </w:tcPr>
          <w:p>
            <w:pPr>
              <w:spacing w:after="0"/>
              <w:rPr>
                <w:sz w:val="24"/>
                <w:szCs w:val="24"/>
                <w:color w:val="auto"/>
              </w:rPr>
            </w:pPr>
          </w:p>
        </w:tc>
        <w:tc>
          <w:tcPr>
            <w:tcW w:w="328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320 Park Avenue, 29</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5"/>
        </w:trPr>
        <w:tc>
          <w:tcPr>
            <w:tcW w:w="1340" w:type="dxa"/>
            <w:vAlign w:val="bottom"/>
          </w:tcPr>
          <w:p>
            <w:pPr>
              <w:spacing w:after="0"/>
              <w:rPr>
                <w:sz w:val="17"/>
                <w:szCs w:val="17"/>
                <w:color w:val="auto"/>
              </w:rPr>
            </w:pPr>
          </w:p>
        </w:tc>
        <w:tc>
          <w:tcPr>
            <w:tcW w:w="3280" w:type="dxa"/>
            <w:vAlign w:val="bottom"/>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jc w:val="right"/>
              <w:ind w:right="2204"/>
              <w:spacing w:after="0"/>
              <w:rPr>
                <w:sz w:val="20"/>
                <w:szCs w:val="20"/>
                <w:color w:val="auto"/>
              </w:rPr>
            </w:pPr>
            <w:r>
              <w:rPr>
                <w:rFonts w:ascii="Times New Roman" w:cs="Times New Roman" w:eastAsia="Times New Roman" w:hAnsi="Times New Roman"/>
                <w:sz w:val="16"/>
                <w:szCs w:val="16"/>
                <w:b w:val="1"/>
                <w:bCs w:val="1"/>
                <w:color w:val="auto"/>
              </w:rPr>
              <w:t>10022</w:t>
            </w:r>
          </w:p>
        </w:tc>
        <w:tc>
          <w:tcPr>
            <w:tcW w:w="580" w:type="dxa"/>
            <w:vAlign w:val="bottom"/>
          </w:tcPr>
          <w:p>
            <w:pPr>
              <w:spacing w:after="0"/>
              <w:rPr>
                <w:sz w:val="17"/>
                <w:szCs w:val="17"/>
                <w:color w:val="auto"/>
              </w:rPr>
            </w:pPr>
          </w:p>
        </w:tc>
      </w:tr>
      <w:tr>
        <w:trPr>
          <w:trHeight w:val="187"/>
        </w:trPr>
        <w:tc>
          <w:tcPr>
            <w:tcW w:w="1340" w:type="dxa"/>
            <w:vAlign w:val="bottom"/>
          </w:tcPr>
          <w:p>
            <w:pPr>
              <w:spacing w:after="0"/>
              <w:rPr>
                <w:sz w:val="16"/>
                <w:szCs w:val="16"/>
                <w:color w:val="auto"/>
              </w:rPr>
            </w:pPr>
          </w:p>
        </w:tc>
        <w:tc>
          <w:tcPr>
            <w:tcW w:w="32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2"/>
          </w:tcPr>
          <w:p>
            <w:pPr>
              <w:jc w:val="center"/>
              <w:ind w:right="26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3"/>
        </w:trPr>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jc w:val="center"/>
              <w:ind w:left="43"/>
              <w:spacing w:after="0"/>
              <w:rPr>
                <w:sz w:val="20"/>
                <w:szCs w:val="20"/>
                <w:color w:val="auto"/>
              </w:rPr>
            </w:pPr>
            <w:r>
              <w:rPr>
                <w:rFonts w:ascii="Times New Roman" w:cs="Times New Roman" w:eastAsia="Times New Roman" w:hAnsi="Times New Roman"/>
                <w:sz w:val="16"/>
                <w:szCs w:val="16"/>
                <w:b w:val="1"/>
                <w:bCs w:val="1"/>
                <w:color w:val="auto"/>
                <w:w w:val="99"/>
              </w:rPr>
              <w:t>(212) 277-7100</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8"/>
        </w:trPr>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40" w:type="dxa"/>
            <w:vAlign w:val="bottom"/>
            <w:gridSpan w:val="5"/>
          </w:tcPr>
          <w:p>
            <w:pPr>
              <w:jc w:val="center"/>
              <w:ind w:left="106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92"/>
        </w:trPr>
        <w:tc>
          <w:tcPr>
            <w:tcW w:w="1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gridSpan w:val="3"/>
          </w:tcPr>
          <w:p>
            <w:pPr>
              <w:spacing w:after="0"/>
              <w:rPr>
                <w:sz w:val="7"/>
                <w:szCs w:val="7"/>
                <w:color w:val="auto"/>
              </w:rPr>
            </w:pPr>
          </w:p>
        </w:tc>
        <w:tc>
          <w:tcPr>
            <w:tcW w:w="1340" w:type="dxa"/>
            <w:vAlign w:val="bottom"/>
            <w:tcBorders>
              <w:bottom w:val="single" w:sz="8" w:color="auto"/>
            </w:tcBorders>
            <w:gridSpan w:val="3"/>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r>
      <w:tr>
        <w:trPr>
          <w:trHeight w:val="206"/>
        </w:trPr>
        <w:tc>
          <w:tcPr>
            <w:tcW w:w="1340" w:type="dxa"/>
            <w:vAlign w:val="bottom"/>
            <w:tcBorders>
              <w:left w:val="single" w:sz="8" w:color="auto"/>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100" w:type="dxa"/>
            <w:vAlign w:val="bottom"/>
            <w:tcBorders>
              <w:bottom w:val="single" w:sz="8" w:color="auto"/>
              <w:right w:val="single" w:sz="8" w:color="auto"/>
            </w:tcBorders>
            <w:gridSpan w:val="8"/>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75"/>
        </w:trPr>
        <w:tc>
          <w:tcPr>
            <w:tcW w:w="1340" w:type="dxa"/>
            <w:vAlign w:val="bottom"/>
            <w:tcBorders>
              <w:left w:val="single" w:sz="8" w:color="auto"/>
            </w:tcBorders>
          </w:tcPr>
          <w:p>
            <w:pPr>
              <w:spacing w:after="0"/>
              <w:rPr>
                <w:sz w:val="15"/>
                <w:szCs w:val="15"/>
                <w:color w:val="auto"/>
              </w:rPr>
            </w:pPr>
          </w:p>
        </w:tc>
        <w:tc>
          <w:tcPr>
            <w:tcW w:w="2500" w:type="dxa"/>
            <w:vAlign w:val="bottom"/>
            <w:tcBorders>
              <w:right w:val="single" w:sz="8" w:color="auto"/>
            </w:tcBorders>
            <w:gridSpan w:val="2"/>
          </w:tcPr>
          <w:p>
            <w:pPr>
              <w:jc w:val="center"/>
              <w:ind w:right="1243"/>
              <w:spacing w:after="0" w:line="141"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780" w:type="dxa"/>
            <w:vAlign w:val="bottom"/>
          </w:tcPr>
          <w:p>
            <w:pPr>
              <w:spacing w:after="0"/>
              <w:rPr>
                <w:sz w:val="15"/>
                <w:szCs w:val="15"/>
                <w:color w:val="auto"/>
              </w:rPr>
            </w:pPr>
          </w:p>
        </w:tc>
        <w:tc>
          <w:tcPr>
            <w:tcW w:w="2040" w:type="dxa"/>
            <w:vAlign w:val="bottom"/>
            <w:tcBorders>
              <w:right w:val="single" w:sz="8" w:color="auto"/>
            </w:tcBorders>
            <w:gridSpan w:val="2"/>
          </w:tcPr>
          <w:p>
            <w:pPr>
              <w:jc w:val="center"/>
              <w:ind w:right="800"/>
              <w:spacing w:after="0" w:line="141" w:lineRule="exact"/>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00" w:type="dxa"/>
            <w:vAlign w:val="bottom"/>
          </w:tcPr>
          <w:p>
            <w:pPr>
              <w:spacing w:after="0"/>
              <w:rPr>
                <w:sz w:val="15"/>
                <w:szCs w:val="15"/>
                <w:color w:val="auto"/>
              </w:rPr>
            </w:pPr>
          </w:p>
        </w:tc>
        <w:tc>
          <w:tcPr>
            <w:tcW w:w="3660" w:type="dxa"/>
            <w:vAlign w:val="bottom"/>
            <w:tcBorders>
              <w:right w:val="single" w:sz="8" w:color="auto"/>
            </w:tcBorders>
            <w:gridSpan w:val="3"/>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40" w:type="dxa"/>
            <w:vAlign w:val="bottom"/>
            <w:tcBorders>
              <w:left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7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EXLS</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2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218" w:lineRule="exact"/>
        <w:rPr>
          <w:sz w:val="24"/>
          <w:szCs w:val="24"/>
          <w:color w:val="auto"/>
        </w:rPr>
      </w:pPr>
    </w:p>
    <w:p>
      <w:pPr>
        <w:jc w:val="both"/>
        <w:ind w:firstLine="321"/>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120" w:val="left"/>
        </w:tabs>
        <w:rPr>
          <w:sz w:val="20"/>
          <w:szCs w:val="20"/>
          <w:color w:val="auto"/>
        </w:rPr>
      </w:pPr>
      <w:r>
        <w:rPr>
          <w:rFonts w:ascii="Times New Roman" w:cs="Times New Roman" w:eastAsia="Times New Roman" w:hAnsi="Times New Roman"/>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9"/>
          <w:szCs w:val="19"/>
          <w:color w:val="auto"/>
        </w:rPr>
        <w:t>☐</w:t>
      </w:r>
    </w:p>
    <w:p>
      <w:pPr>
        <w:spacing w:after="0" w:line="257" w:lineRule="exact"/>
        <w:rPr>
          <w:sz w:val="24"/>
          <w:szCs w:val="24"/>
          <w:color w:val="auto"/>
        </w:rPr>
      </w:pPr>
    </w:p>
    <w:p>
      <w:pPr>
        <w:jc w:val="both"/>
        <w:ind w:firstLine="321"/>
        <w:spacing w:after="0" w:line="23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203" w:lineRule="exact"/>
        <w:rPr>
          <w:sz w:val="24"/>
          <w:szCs w:val="24"/>
          <w:color w:val="auto"/>
        </w:rPr>
      </w:pPr>
    </w:p>
    <w:p>
      <w:pPr>
        <w:jc w:val="both"/>
        <w:ind w:firstLine="321"/>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4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59" w:lineRule="exact"/>
        <w:rPr>
          <w:sz w:val="24"/>
          <w:szCs w:val="24"/>
          <w:color w:val="auto"/>
        </w:rPr>
      </w:pPr>
    </w:p>
    <w:p>
      <w:pPr>
        <w:ind w:firstLine="32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0" w:lineRule="exact"/>
        <w:rPr>
          <w:sz w:val="24"/>
          <w:szCs w:val="24"/>
          <w:color w:val="auto"/>
        </w:rPr>
      </w:pPr>
    </w:p>
    <w:p>
      <w:pPr>
        <w:spacing w:after="0" w:line="184" w:lineRule="exact"/>
        <w:tabs>
          <w:tab w:leader="none" w:pos="79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3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April 24, 2026, there were 152,782,931 shares of the registrant’s common stock outstanding, par value $0.001 per share.</w:t>
      </w:r>
    </w:p>
    <w:p>
      <w:pPr>
        <w:sectPr>
          <w:pgSz w:w="11900" w:h="16838" w:orient="portrait"/>
          <w:cols w:equalWidth="0" w:num="1">
            <w:col w:w="11240"/>
          </w:cols>
          <w:pgMar w:left="320" w:top="464" w:right="339" w:bottom="1440" w:gutter="0" w:footer="0" w:header="0"/>
        </w:sectPr>
      </w:pP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-70485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6722745</wp:posOffset>
            </wp:positionH>
            <wp:positionV relativeFrom="paragraph">
              <wp:posOffset>-127635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207"/>
        </w:trPr>
        <w:tc>
          <w:tcPr>
            <w:tcW w:w="2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bl>
    <w:p>
      <w:pPr>
        <w:spacing w:after="0" w:line="72" w:lineRule="exact"/>
        <w:rPr>
          <w:sz w:val="20"/>
          <w:szCs w:val="20"/>
          <w:color w:val="auto"/>
        </w:rPr>
      </w:pPr>
    </w:p>
    <w:p>
      <w:pPr>
        <w:ind w:left="1320" w:hanging="124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0000FF"/>
        </w:rPr>
        <w:t>FINANCIAL STATEMENTS (UNAUDITED)</w:t>
      </w:r>
    </w:p>
    <w:tbl>
      <w:tblPr>
        <w:tblLayout w:type="fixed"/>
        <w:tblInd w:w="80" w:type="dxa"/>
        <w:tblCellMar>
          <w:top w:w="0" w:type="dxa"/>
          <w:left w:w="0" w:type="dxa"/>
          <w:bottom w:w="0" w:type="dxa"/>
          <w:right w:w="0" w:type="dxa"/>
        </w:tblCellMar>
      </w:tblPr>
      <w:tr>
        <w:trPr>
          <w:trHeight w:val="202"/>
        </w:trPr>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20" w:type="dxa"/>
            <w:vAlign w:val="bottom"/>
            <w:tcBorders>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7"/>
                <w:szCs w:val="17"/>
                <w:color w:val="0000FF"/>
                <w:w w:val="99"/>
              </w:rPr>
              <w:t>Consolidated Balance Sheets as of March 31, 2026 and December 31, 2025</w:t>
            </w:r>
          </w:p>
        </w:tc>
        <w:tc>
          <w:tcPr>
            <w:tcW w:w="3260" w:type="dxa"/>
            <w:vAlign w:val="bottom"/>
            <w:gridSpan w:val="6"/>
          </w:tcPr>
          <w:p>
            <w:pPr>
              <w:spacing w:after="0"/>
              <w:rPr>
                <w:sz w:val="17"/>
                <w:szCs w:val="17"/>
                <w:color w:val="auto"/>
              </w:rPr>
            </w:pPr>
          </w:p>
        </w:tc>
        <w:tc>
          <w:tcPr>
            <w:tcW w:w="12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0000FF"/>
              </w:rPr>
              <w:t>3</w:t>
            </w:r>
          </w:p>
        </w:tc>
      </w:tr>
      <w:tr>
        <w:trPr>
          <w:trHeight w:val="207"/>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60" w:type="dxa"/>
            <w:vAlign w:val="bottom"/>
            <w:tcBorders>
              <w:bottom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7"/>
                <w:szCs w:val="17"/>
                <w:color w:val="0000FF"/>
                <w:w w:val="99"/>
              </w:rPr>
              <w:t>Consolidated Statements of Income for the Three Months Ended March 31, 2026 and 2025</w:t>
            </w:r>
          </w:p>
        </w:tc>
        <w:tc>
          <w:tcPr>
            <w:tcW w:w="2220" w:type="dxa"/>
            <w:vAlign w:val="bottom"/>
            <w:gridSpan w:val="4"/>
          </w:tcPr>
          <w:p>
            <w:pPr>
              <w:spacing w:after="0"/>
              <w:rPr>
                <w:sz w:val="18"/>
                <w:szCs w:val="18"/>
                <w:color w:val="auto"/>
              </w:rPr>
            </w:pP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4</w:t>
            </w:r>
          </w:p>
        </w:tc>
      </w:tr>
      <w:tr>
        <w:trPr>
          <w:trHeight w:val="207"/>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80" w:type="dxa"/>
            <w:vAlign w:val="bottom"/>
            <w:gridSpan w:val="18"/>
          </w:tcPr>
          <w:p>
            <w:pPr>
              <w:spacing w:after="0" w:line="194" w:lineRule="exact"/>
              <w:rPr>
                <w:sz w:val="20"/>
                <w:szCs w:val="20"/>
                <w:color w:val="auto"/>
              </w:rPr>
            </w:pPr>
            <w:r>
              <w:rPr>
                <w:rFonts w:ascii="Times New Roman" w:cs="Times New Roman" w:eastAsia="Times New Roman" w:hAnsi="Times New Roman"/>
                <w:sz w:val="17"/>
                <w:szCs w:val="17"/>
                <w:color w:val="0000FF"/>
              </w:rPr>
              <w:t>Consolidated Statements of Comprehensive Income for the Three Months Ended March 31, 2026 and 2025</w:t>
            </w: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5</w:t>
            </w:r>
          </w:p>
        </w:tc>
      </w:tr>
      <w:tr>
        <w:trPr>
          <w:trHeight w:val="207"/>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60" w:type="dxa"/>
            <w:vAlign w:val="bottom"/>
            <w:tcBorders>
              <w:top w:val="single" w:sz="8" w:color="0000FF"/>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7"/>
                <w:szCs w:val="17"/>
                <w:color w:val="0000FF"/>
                <w:w w:val="99"/>
              </w:rPr>
              <w:t>Consolidated Statements of Stockholders' Equity for the Three Months Ended March 31, 2026 and 2025</w:t>
            </w:r>
          </w:p>
        </w:tc>
        <w:tc>
          <w:tcPr>
            <w:tcW w:w="20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6</w:t>
            </w:r>
          </w:p>
        </w:tc>
      </w:tr>
      <w:tr>
        <w:trPr>
          <w:trHeight w:val="207"/>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80" w:type="dxa"/>
            <w:vAlign w:val="bottom"/>
            <w:gridSpan w:val="18"/>
          </w:tcPr>
          <w:p>
            <w:pPr>
              <w:spacing w:after="0" w:line="194" w:lineRule="exact"/>
              <w:rPr>
                <w:sz w:val="20"/>
                <w:szCs w:val="20"/>
                <w:color w:val="auto"/>
              </w:rPr>
            </w:pPr>
            <w:r>
              <w:rPr>
                <w:rFonts w:ascii="Times New Roman" w:cs="Times New Roman" w:eastAsia="Times New Roman" w:hAnsi="Times New Roman"/>
                <w:sz w:val="17"/>
                <w:szCs w:val="17"/>
                <w:color w:val="0000FF"/>
              </w:rPr>
              <w:t>Consolidated Statements of Cash Flows for the Three Months Ended March 31, 2026 and 2025</w:t>
            </w: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7</w:t>
            </w:r>
          </w:p>
        </w:tc>
      </w:tr>
      <w:tr>
        <w:trPr>
          <w:trHeight w:val="207"/>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40" w:type="dxa"/>
            <w:vAlign w:val="bottom"/>
            <w:tcBorders>
              <w:top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940" w:type="dxa"/>
            <w:vAlign w:val="bottom"/>
            <w:gridSpan w:val="3"/>
          </w:tcPr>
          <w:p>
            <w:pPr>
              <w:spacing w:after="0"/>
              <w:rPr>
                <w:sz w:val="18"/>
                <w:szCs w:val="18"/>
                <w:color w:val="auto"/>
              </w:rPr>
            </w:pP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2"/>
                <w:szCs w:val="22"/>
                <w:color w:val="auto"/>
              </w:rPr>
            </w:pPr>
          </w:p>
        </w:tc>
        <w:tc>
          <w:tcPr>
            <w:tcW w:w="60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w w:val="99"/>
              </w:rPr>
              <w:t>Management’s Discussion and Analysis of Financial Condition and Results of Operations</w:t>
            </w:r>
          </w:p>
        </w:tc>
        <w:tc>
          <w:tcPr>
            <w:tcW w:w="2500" w:type="dxa"/>
            <w:vAlign w:val="bottom"/>
            <w:gridSpan w:val="5"/>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2"/>
                <w:szCs w:val="22"/>
                <w:color w:val="auto"/>
              </w:rPr>
            </w:pPr>
          </w:p>
        </w:tc>
        <w:tc>
          <w:tcPr>
            <w:tcW w:w="4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w w:val="99"/>
              </w:rPr>
              <w:t>Quantitative and Qualitative Disclosures About Market Risk</w:t>
            </w:r>
          </w:p>
        </w:tc>
        <w:tc>
          <w:tcPr>
            <w:tcW w:w="4460" w:type="dxa"/>
            <w:vAlign w:val="bottom"/>
            <w:gridSpan w:val="7"/>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2"/>
                <w:szCs w:val="22"/>
                <w:color w:val="auto"/>
              </w:rPr>
            </w:pPr>
          </w:p>
        </w:tc>
        <w:tc>
          <w:tcPr>
            <w:tcW w:w="1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6900" w:type="dxa"/>
            <w:vAlign w:val="bottom"/>
            <w:gridSpan w:val="12"/>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61"/>
        </w:trPr>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Part II. Other Information</w:t>
            </w:r>
          </w:p>
        </w:tc>
        <w:tc>
          <w:tcPr>
            <w:tcW w:w="6820" w:type="dxa"/>
            <w:vAlign w:val="bottom"/>
            <w:gridSpan w:val="11"/>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2"/>
                <w:szCs w:val="22"/>
                <w:color w:val="auto"/>
              </w:rPr>
            </w:pPr>
          </w:p>
        </w:tc>
        <w:tc>
          <w:tcPr>
            <w:tcW w:w="1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Legal Proceedings</w:t>
            </w:r>
          </w:p>
        </w:tc>
        <w:tc>
          <w:tcPr>
            <w:tcW w:w="400" w:type="dxa"/>
            <w:vAlign w:val="bottom"/>
          </w:tcPr>
          <w:p>
            <w:pPr>
              <w:spacing w:after="0"/>
              <w:rPr>
                <w:sz w:val="22"/>
                <w:szCs w:val="22"/>
                <w:color w:val="auto"/>
              </w:rPr>
            </w:pPr>
          </w:p>
        </w:tc>
        <w:tc>
          <w:tcPr>
            <w:tcW w:w="540" w:type="dxa"/>
            <w:vAlign w:val="bottom"/>
            <w:gridSpan w:val="3"/>
          </w:tcPr>
          <w:p>
            <w:pPr>
              <w:spacing w:after="0"/>
              <w:rPr>
                <w:sz w:val="22"/>
                <w:szCs w:val="22"/>
                <w:color w:val="auto"/>
              </w:rPr>
            </w:pPr>
          </w:p>
        </w:tc>
        <w:tc>
          <w:tcPr>
            <w:tcW w:w="1900" w:type="dxa"/>
            <w:vAlign w:val="bottom"/>
            <w:gridSpan w:val="2"/>
          </w:tcPr>
          <w:p>
            <w:pPr>
              <w:spacing w:after="0"/>
              <w:rPr>
                <w:sz w:val="22"/>
                <w:szCs w:val="22"/>
                <w:color w:val="auto"/>
              </w:rPr>
            </w:pPr>
          </w:p>
        </w:tc>
        <w:tc>
          <w:tcPr>
            <w:tcW w:w="4480" w:type="dxa"/>
            <w:vAlign w:val="bottom"/>
            <w:gridSpan w:val="8"/>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6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1A.</w:t>
            </w:r>
          </w:p>
        </w:tc>
        <w:tc>
          <w:tcPr>
            <w:tcW w:w="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720" w:type="dxa"/>
            <w:vAlign w:val="bottom"/>
            <w:gridSpan w:val="16"/>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2"/>
                <w:szCs w:val="22"/>
                <w:color w:val="auto"/>
              </w:rPr>
            </w:pPr>
          </w:p>
        </w:tc>
        <w:tc>
          <w:tcPr>
            <w:tcW w:w="41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Unregistered Sales of Equity Securities and Use of Proceeds</w:t>
            </w:r>
          </w:p>
        </w:tc>
        <w:tc>
          <w:tcPr>
            <w:tcW w:w="4480" w:type="dxa"/>
            <w:vAlign w:val="bottom"/>
            <w:gridSpan w:val="8"/>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2"/>
                <w:szCs w:val="22"/>
                <w:color w:val="auto"/>
              </w:rPr>
            </w:pPr>
          </w:p>
        </w:tc>
        <w:tc>
          <w:tcPr>
            <w:tcW w:w="2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9"/>
              </w:rPr>
              <w:t>Defaults Upon Senior Securities</w:t>
            </w:r>
          </w:p>
        </w:tc>
        <w:tc>
          <w:tcPr>
            <w:tcW w:w="6380" w:type="dxa"/>
            <w:vAlign w:val="bottom"/>
            <w:gridSpan w:val="10"/>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2"/>
                <w:szCs w:val="22"/>
                <w:color w:val="auto"/>
              </w:rPr>
            </w:pPr>
          </w:p>
        </w:tc>
        <w:tc>
          <w:tcPr>
            <w:tcW w:w="8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22"/>
                <w:szCs w:val="22"/>
                <w:color w:val="auto"/>
              </w:rPr>
            </w:pPr>
          </w:p>
        </w:tc>
        <w:tc>
          <w:tcPr>
            <w:tcW w:w="1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920" w:type="dxa"/>
            <w:vAlign w:val="bottom"/>
            <w:gridSpan w:val="13"/>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2"/>
                <w:szCs w:val="22"/>
                <w:color w:val="auto"/>
              </w:rPr>
            </w:pPr>
          </w:p>
        </w:tc>
        <w:tc>
          <w:tcPr>
            <w:tcW w:w="12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7340" w:type="dxa"/>
            <w:vAlign w:val="bottom"/>
            <w:gridSpan w:val="15"/>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7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7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35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6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60" w:type="dxa"/>
            <w:vAlign w:val="bottom"/>
          </w:tcPr>
          <w:p>
            <w:pPr>
              <w:spacing w:after="0"/>
              <w:rPr>
                <w:sz w:val="17"/>
                <w:szCs w:val="17"/>
                <w:color w:val="auto"/>
              </w:rPr>
            </w:pPr>
          </w:p>
        </w:tc>
        <w:tc>
          <w:tcPr>
            <w:tcW w:w="152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0" w:type="dxa"/>
            <w:vAlign w:val="bottom"/>
          </w:tcPr>
          <w:p>
            <w:pPr>
              <w:spacing w:after="0"/>
              <w:rPr>
                <w:sz w:val="1"/>
                <w:szCs w:val="1"/>
                <w:color w:val="auto"/>
              </w:rPr>
            </w:pPr>
          </w:p>
        </w:tc>
      </w:tr>
      <w:tr>
        <w:trPr>
          <w:trHeight w:val="180"/>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145,405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146,326</w:t>
            </w: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Short-term investments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108,358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182,041</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Restricted cash</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12,409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12,392</w:t>
            </w: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receivable,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388,563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343,105</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 current assets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142,626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146,093</w:t>
            </w:r>
          </w:p>
        </w:tc>
        <w:tc>
          <w:tcPr>
            <w:tcW w:w="0" w:type="dxa"/>
            <w:vAlign w:val="bottom"/>
          </w:tcPr>
          <w:p>
            <w:pPr>
              <w:spacing w:after="0"/>
              <w:rPr>
                <w:sz w:val="1"/>
                <w:szCs w:val="1"/>
                <w:color w:val="auto"/>
              </w:rPr>
            </w:pPr>
          </w:p>
        </w:tc>
      </w:tr>
      <w:tr>
        <w:trPr>
          <w:trHeight w:val="194"/>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797,361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829,957</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109,388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111,821</w:t>
            </w:r>
          </w:p>
        </w:tc>
        <w:tc>
          <w:tcPr>
            <w:tcW w:w="0" w:type="dxa"/>
            <w:vAlign w:val="bottom"/>
          </w:tcPr>
          <w:p>
            <w:pPr>
              <w:spacing w:after="0"/>
              <w:rPr>
                <w:sz w:val="1"/>
                <w:szCs w:val="1"/>
                <w:color w:val="auto"/>
              </w:rPr>
            </w:pPr>
          </w:p>
        </w:tc>
      </w:tr>
      <w:tr>
        <w:trPr>
          <w:trHeight w:val="19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92,980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97,411</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7,251</w:t>
            </w:r>
          </w:p>
        </w:tc>
        <w:tc>
          <w:tcPr>
            <w:tcW w:w="0" w:type="dxa"/>
            <w:vAlign w:val="bottom"/>
          </w:tcPr>
          <w:p>
            <w:pPr>
              <w:spacing w:after="0"/>
              <w:rPr>
                <w:sz w:val="1"/>
                <w:szCs w:val="1"/>
                <w:color w:val="auto"/>
              </w:rPr>
            </w:pPr>
          </w:p>
        </w:tc>
      </w:tr>
      <w:tr>
        <w:trPr>
          <w:trHeight w:val="19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140,602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129,968</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418,659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419,654</w:t>
            </w:r>
          </w:p>
        </w:tc>
        <w:tc>
          <w:tcPr>
            <w:tcW w:w="0" w:type="dxa"/>
            <w:vAlign w:val="bottom"/>
          </w:tcPr>
          <w:p>
            <w:pPr>
              <w:spacing w:after="0"/>
              <w:rPr>
                <w:sz w:val="1"/>
                <w:szCs w:val="1"/>
                <w:color w:val="auto"/>
              </w:rPr>
            </w:pPr>
          </w:p>
        </w:tc>
      </w:tr>
      <w:tr>
        <w:trPr>
          <w:trHeight w:val="19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32,978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36,204</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investments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17,532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8,198</w:t>
            </w:r>
          </w:p>
        </w:tc>
        <w:tc>
          <w:tcPr>
            <w:tcW w:w="0" w:type="dxa"/>
            <w:vAlign w:val="bottom"/>
          </w:tcPr>
          <w:p>
            <w:pPr>
              <w:spacing w:after="0"/>
              <w:rPr>
                <w:sz w:val="1"/>
                <w:szCs w:val="1"/>
                <w:color w:val="auto"/>
              </w:rPr>
            </w:pPr>
          </w:p>
        </w:tc>
      </w:tr>
      <w:tr>
        <w:trPr>
          <w:trHeight w:val="19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59,915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61,771</w:t>
            </w:r>
          </w:p>
        </w:tc>
        <w:tc>
          <w:tcPr>
            <w:tcW w:w="0" w:type="dxa"/>
            <w:vAlign w:val="bottom"/>
          </w:tcPr>
          <w:p>
            <w:pPr>
              <w:spacing w:after="0"/>
              <w:rPr>
                <w:sz w:val="1"/>
                <w:szCs w:val="1"/>
                <w:color w:val="auto"/>
              </w:rPr>
            </w:pPr>
          </w:p>
        </w:tc>
      </w:tr>
      <w:tr>
        <w:trPr>
          <w:trHeight w:val="22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1,676,379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1,702,235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payable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11,260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4,753</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w:t>
            </w: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Deferred revenue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22,905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15,356</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Accrued employee costs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71,604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146,775</w:t>
            </w: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171,934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135,498</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16,925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16,857</w:t>
            </w:r>
          </w:p>
        </w:tc>
        <w:tc>
          <w:tcPr>
            <w:tcW w:w="0" w:type="dxa"/>
            <w:vAlign w:val="bottom"/>
          </w:tcPr>
          <w:p>
            <w:pPr>
              <w:spacing w:after="0"/>
              <w:rPr>
                <w:sz w:val="1"/>
                <w:szCs w:val="1"/>
                <w:color w:val="auto"/>
              </w:rPr>
            </w:pPr>
          </w:p>
        </w:tc>
      </w:tr>
      <w:tr>
        <w:trPr>
          <w:trHeight w:val="194"/>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299,514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324,125</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412,491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293,712</w:t>
            </w:r>
          </w:p>
        </w:tc>
        <w:tc>
          <w:tcPr>
            <w:tcW w:w="0" w:type="dxa"/>
            <w:vAlign w:val="bottom"/>
          </w:tcPr>
          <w:p>
            <w:pPr>
              <w:spacing w:after="0"/>
              <w:rPr>
                <w:sz w:val="1"/>
                <w:szCs w:val="1"/>
                <w:color w:val="auto"/>
              </w:rPr>
            </w:pPr>
          </w:p>
        </w:tc>
      </w:tr>
      <w:tr>
        <w:trPr>
          <w:trHeight w:val="19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84,277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88,167</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2,125</w:t>
            </w:r>
          </w:p>
        </w:tc>
        <w:tc>
          <w:tcPr>
            <w:tcW w:w="0" w:type="dxa"/>
            <w:vAlign w:val="bottom"/>
          </w:tcPr>
          <w:p>
            <w:pPr>
              <w:spacing w:after="0"/>
              <w:rPr>
                <w:sz w:val="1"/>
                <w:szCs w:val="1"/>
                <w:color w:val="auto"/>
              </w:rPr>
            </w:pPr>
          </w:p>
        </w:tc>
      </w:tr>
      <w:tr>
        <w:trPr>
          <w:trHeight w:val="19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99,586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81,401</w:t>
            </w:r>
          </w:p>
        </w:tc>
        <w:tc>
          <w:tcPr>
            <w:tcW w:w="0" w:type="dxa"/>
            <w:vAlign w:val="bottom"/>
          </w:tcPr>
          <w:p>
            <w:pPr>
              <w:spacing w:after="0"/>
              <w:rPr>
                <w:sz w:val="1"/>
                <w:szCs w:val="1"/>
                <w:color w:val="auto"/>
              </w:rPr>
            </w:pPr>
          </w:p>
        </w:tc>
      </w:tr>
      <w:tr>
        <w:trPr>
          <w:trHeight w:val="19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897,575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789,530</w:t>
            </w:r>
          </w:p>
        </w:tc>
        <w:tc>
          <w:tcPr>
            <w:tcW w:w="0" w:type="dxa"/>
            <w:vAlign w:val="bottom"/>
          </w:tcPr>
          <w:p>
            <w:pPr>
              <w:spacing w:after="0"/>
              <w:rPr>
                <w:sz w:val="1"/>
                <w:szCs w:val="1"/>
                <w:color w:val="auto"/>
              </w:rPr>
            </w:pPr>
          </w:p>
        </w:tc>
      </w:tr>
      <w:tr>
        <w:trPr>
          <w:trHeight w:val="17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Preferred stock, $0.001 par value; 15,000,000 shares authorized, none issued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209,929,764 shares issued and 152,999,425</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960" w:type="dxa"/>
            <w:vAlign w:val="bottom"/>
            <w:shd w:val="clear" w:color="auto" w:fill="CCEEFF"/>
          </w:tcPr>
          <w:p>
            <w:pPr>
              <w:ind w:left="340"/>
              <w:spacing w:after="0" w:line="138" w:lineRule="exact"/>
              <w:rPr>
                <w:sz w:val="20"/>
                <w:szCs w:val="20"/>
                <w:color w:val="auto"/>
              </w:rPr>
            </w:pPr>
            <w:r>
              <w:rPr>
                <w:rFonts w:ascii="Times New Roman" w:cs="Times New Roman" w:eastAsia="Times New Roman" w:hAnsi="Times New Roman"/>
                <w:sz w:val="14"/>
                <w:szCs w:val="14"/>
                <w:color w:val="auto"/>
              </w:rPr>
              <w:t>shares outstanding as of March 31, 2026 and 208,855,566 shares issued and 156,430,028 shares outstanding as of</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December 31, 2025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674,662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677,562</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Retained earnings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1,600,060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1,532,979</w:t>
            </w:r>
          </w:p>
        </w:tc>
        <w:tc>
          <w:tcPr>
            <w:tcW w:w="0" w:type="dxa"/>
            <w:vAlign w:val="bottom"/>
          </w:tcPr>
          <w:p>
            <w:pPr>
              <w:spacing w:after="0"/>
              <w:rPr>
                <w:sz w:val="1"/>
                <w:szCs w:val="1"/>
                <w:color w:val="auto"/>
              </w:rPr>
            </w:pPr>
          </w:p>
        </w:tc>
      </w:tr>
      <w:tr>
        <w:trPr>
          <w:trHeight w:val="199"/>
        </w:trPr>
        <w:tc>
          <w:tcPr>
            <w:tcW w:w="6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(237,374)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(180,727)</w:t>
            </w:r>
          </w:p>
        </w:tc>
        <w:tc>
          <w:tcPr>
            <w:tcW w:w="0" w:type="dxa"/>
            <w:vAlign w:val="bottom"/>
          </w:tcPr>
          <w:p>
            <w:pPr>
              <w:spacing w:after="0"/>
              <w:rPr>
                <w:sz w:val="1"/>
                <w:szCs w:val="1"/>
                <w:color w:val="auto"/>
              </w:rPr>
            </w:pPr>
          </w:p>
        </w:tc>
      </w:tr>
      <w:tr>
        <w:trPr>
          <w:trHeight w:val="19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2,037,558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2,030,023</w:t>
            </w:r>
          </w:p>
        </w:tc>
        <w:tc>
          <w:tcPr>
            <w:tcW w:w="0" w:type="dxa"/>
            <w:vAlign w:val="bottom"/>
          </w:tcPr>
          <w:p>
            <w:pPr>
              <w:spacing w:after="0"/>
              <w:rPr>
                <w:sz w:val="1"/>
                <w:szCs w:val="1"/>
                <w:color w:val="auto"/>
              </w:rPr>
            </w:pPr>
          </w:p>
        </w:tc>
      </w:tr>
      <w:tr>
        <w:trPr>
          <w:trHeight w:val="127"/>
        </w:trPr>
        <w:tc>
          <w:tcPr>
            <w:tcW w:w="696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Less: 56,930,339 shares as of March 31, 2026 and 52,425,538 shares as of December 31, 2025, held in treasury, at</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(1,258,754)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(1,117,318)</w:t>
            </w: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778,804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912,705</w:t>
            </w:r>
          </w:p>
        </w:tc>
        <w:tc>
          <w:tcPr>
            <w:tcW w:w="0" w:type="dxa"/>
            <w:vAlign w:val="bottom"/>
          </w:tcPr>
          <w:p>
            <w:pPr>
              <w:spacing w:after="0"/>
              <w:rPr>
                <w:sz w:val="1"/>
                <w:szCs w:val="1"/>
                <w:color w:val="auto"/>
              </w:rPr>
            </w:pPr>
          </w:p>
        </w:tc>
      </w:tr>
      <w:tr>
        <w:trPr>
          <w:trHeight w:val="194"/>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1,676,379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1,702,235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9"/>
        </w:trPr>
        <w:tc>
          <w:tcPr>
            <w:tcW w:w="1340" w:type="dxa"/>
            <w:vAlign w:val="bottom"/>
            <w:tcBorders>
              <w:top w:val="single" w:sz="8" w:color="0000FF"/>
            </w:tcBorders>
          </w:tcPr>
          <w:p>
            <w:pPr>
              <w:spacing w:after="0"/>
              <w:rPr>
                <w:sz w:val="24"/>
                <w:szCs w:val="24"/>
                <w:color w:val="auto"/>
              </w:rPr>
            </w:pPr>
          </w:p>
        </w:tc>
        <w:tc>
          <w:tcPr>
            <w:tcW w:w="5620" w:type="dxa"/>
            <w:vAlign w:val="bottom"/>
          </w:tcPr>
          <w:p>
            <w:pPr>
              <w:jc w:val="center"/>
              <w:ind w:left="2871"/>
              <w:spacing w:after="0"/>
              <w:rPr>
                <w:sz w:val="20"/>
                <w:szCs w:val="20"/>
                <w:color w:val="auto"/>
              </w:rPr>
            </w:pPr>
            <w:r>
              <w:rPr>
                <w:rFonts w:ascii="Times New Roman" w:cs="Times New Roman" w:eastAsia="Times New Roman" w:hAnsi="Times New Roman"/>
                <w:sz w:val="18"/>
                <w:szCs w:val="18"/>
                <w:b w:val="1"/>
                <w:bCs w:val="1"/>
                <w:color w:val="auto"/>
                <w:w w:val="98"/>
              </w:rPr>
              <w:t>EXLSERVICE HOLDINGS, INC.</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6900" w:type="dxa"/>
            <w:vAlign w:val="bottom"/>
            <w:gridSpan w:val="4"/>
          </w:tcPr>
          <w:p>
            <w:pPr>
              <w:jc w:val="center"/>
              <w:ind w:left="157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INCOME (UNAUDITED)</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6500" w:type="dxa"/>
            <w:vAlign w:val="bottom"/>
            <w:gridSpan w:val="3"/>
          </w:tcPr>
          <w:p>
            <w:pPr>
              <w:jc w:val="center"/>
              <w:ind w:left="1971"/>
              <w:spacing w:after="0"/>
              <w:rPr>
                <w:sz w:val="20"/>
                <w:szCs w:val="20"/>
                <w:color w:val="auto"/>
              </w:rPr>
            </w:pPr>
            <w:r>
              <w:rPr>
                <w:rFonts w:ascii="Times New Roman" w:cs="Times New Roman" w:eastAsia="Times New Roman" w:hAnsi="Times New Roman"/>
                <w:sz w:val="18"/>
                <w:szCs w:val="18"/>
                <w:b w:val="1"/>
                <w:bCs w:val="1"/>
                <w:color w:val="auto"/>
                <w:w w:val="98"/>
              </w:rPr>
              <w:t>(In thousands, except per share amount and share count)</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4"/>
        </w:trPr>
        <w:tc>
          <w:tcPr>
            <w:tcW w:w="1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134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501,019</w:t>
            </w:r>
          </w:p>
        </w:tc>
        <w:tc>
          <w:tcPr>
            <w:tcW w:w="0" w:type="dxa"/>
            <w:vAlign w:val="bottom"/>
          </w:tcPr>
          <w:p>
            <w:pPr>
              <w:spacing w:after="0"/>
              <w:rPr>
                <w:sz w:val="1"/>
                <w:szCs w:val="1"/>
                <w:color w:val="auto"/>
              </w:rPr>
            </w:pPr>
          </w:p>
        </w:tc>
      </w:tr>
      <w:tr>
        <w:trPr>
          <w:trHeight w:val="227"/>
        </w:trPr>
        <w:tc>
          <w:tcPr>
            <w:tcW w:w="6960" w:type="dxa"/>
            <w:vAlign w:val="bottom"/>
            <w:tcBorders>
              <w:bottom w:val="single" w:sz="8" w:color="CCEEFF"/>
            </w:tcBorders>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348,270</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307,705</w:t>
            </w:r>
          </w:p>
        </w:tc>
        <w:tc>
          <w:tcPr>
            <w:tcW w:w="0" w:type="dxa"/>
            <w:vAlign w:val="bottom"/>
          </w:tcPr>
          <w:p>
            <w:pPr>
              <w:spacing w:after="0"/>
              <w:rPr>
                <w:sz w:val="1"/>
                <w:szCs w:val="1"/>
                <w:color w:val="auto"/>
              </w:rPr>
            </w:pPr>
          </w:p>
        </w:tc>
      </w:tr>
      <w:tr>
        <w:trPr>
          <w:trHeight w:val="220"/>
        </w:trPr>
        <w:tc>
          <w:tcPr>
            <w:tcW w:w="6960" w:type="dxa"/>
            <w:vAlign w:val="bottom"/>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b w:val="1"/>
                <w:bCs w:val="1"/>
                <w:color w:val="auto"/>
                <w:vertAlign w:val="superscript"/>
              </w:rPr>
              <w:t>(1)</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222,081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193,314</w:t>
            </w:r>
          </w:p>
        </w:tc>
        <w:tc>
          <w:tcPr>
            <w:tcW w:w="0" w:type="dxa"/>
            <w:vAlign w:val="bottom"/>
          </w:tcPr>
          <w:p>
            <w:pPr>
              <w:spacing w:after="0"/>
              <w:rPr>
                <w:sz w:val="1"/>
                <w:szCs w:val="1"/>
                <w:color w:val="auto"/>
              </w:rPr>
            </w:pPr>
          </w:p>
        </w:tc>
      </w:tr>
      <w:tr>
        <w:trPr>
          <w:trHeight w:val="207"/>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0" w:type="dxa"/>
            <w:vAlign w:val="bottom"/>
          </w:tcPr>
          <w:p>
            <w:pPr>
              <w:spacing w:after="0"/>
              <w:rPr>
                <w:sz w:val="1"/>
                <w:szCs w:val="1"/>
                <w:color w:val="auto"/>
              </w:rPr>
            </w:pPr>
          </w:p>
        </w:tc>
      </w:tr>
      <w:tr>
        <w:trPr>
          <w:trHeight w:val="227"/>
        </w:trPr>
        <w:tc>
          <w:tcPr>
            <w:tcW w:w="6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41,925</w:t>
            </w:r>
          </w:p>
        </w:tc>
        <w:tc>
          <w:tcPr>
            <w:tcW w:w="0" w:type="dxa"/>
            <w:vAlign w:val="bottom"/>
          </w:tcPr>
          <w:p>
            <w:pPr>
              <w:spacing w:after="0"/>
              <w:rPr>
                <w:sz w:val="1"/>
                <w:szCs w:val="1"/>
                <w:color w:val="auto"/>
              </w:rPr>
            </w:pPr>
          </w:p>
        </w:tc>
      </w:tr>
      <w:tr>
        <w:trPr>
          <w:trHeight w:val="227"/>
        </w:trPr>
        <w:tc>
          <w:tcPr>
            <w:tcW w:w="6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0" w:type="dxa"/>
            <w:vAlign w:val="bottom"/>
          </w:tcPr>
          <w:p>
            <w:pPr>
              <w:spacing w:after="0"/>
              <w:rPr>
                <w:sz w:val="1"/>
                <w:szCs w:val="1"/>
                <w:color w:val="auto"/>
              </w:rPr>
            </w:pPr>
          </w:p>
        </w:tc>
      </w:tr>
      <w:tr>
        <w:trPr>
          <w:trHeight w:val="220"/>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130,255</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114,899</w:t>
            </w:r>
          </w:p>
        </w:tc>
        <w:tc>
          <w:tcPr>
            <w:tcW w:w="0" w:type="dxa"/>
            <w:vAlign w:val="bottom"/>
          </w:tcPr>
          <w:p>
            <w:pPr>
              <w:spacing w:after="0"/>
              <w:rPr>
                <w:sz w:val="1"/>
                <w:szCs w:val="1"/>
                <w:color w:val="auto"/>
              </w:rPr>
            </w:pPr>
          </w:p>
        </w:tc>
      </w:tr>
      <w:tr>
        <w:trPr>
          <w:trHeight w:val="22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91,826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78,415</w:t>
            </w:r>
          </w:p>
        </w:tc>
        <w:tc>
          <w:tcPr>
            <w:tcW w:w="0" w:type="dxa"/>
            <w:vAlign w:val="bottom"/>
          </w:tcPr>
          <w:p>
            <w:pPr>
              <w:spacing w:after="0"/>
              <w:rPr>
                <w:sz w:val="1"/>
                <w:szCs w:val="1"/>
                <w:color w:val="auto"/>
              </w:rPr>
            </w:pPr>
          </w:p>
        </w:tc>
      </w:tr>
      <w:tr>
        <w:trPr>
          <w:trHeight w:val="227"/>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7"/>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27"/>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0" w:type="dxa"/>
            <w:vAlign w:val="bottom"/>
          </w:tcPr>
          <w:p>
            <w:pPr>
              <w:spacing w:after="0"/>
              <w:rPr>
                <w:sz w:val="1"/>
                <w:szCs w:val="1"/>
                <w:color w:val="auto"/>
              </w:rPr>
            </w:pPr>
          </w:p>
        </w:tc>
      </w:tr>
      <w:tr>
        <w:trPr>
          <w:trHeight w:val="22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91,401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80,166</w:t>
            </w:r>
          </w:p>
        </w:tc>
        <w:tc>
          <w:tcPr>
            <w:tcW w:w="0" w:type="dxa"/>
            <w:vAlign w:val="bottom"/>
          </w:tcPr>
          <w:p>
            <w:pPr>
              <w:spacing w:after="0"/>
              <w:rPr>
                <w:sz w:val="1"/>
                <w:szCs w:val="1"/>
                <w:color w:val="auto"/>
              </w:rPr>
            </w:pPr>
          </w:p>
        </w:tc>
      </w:tr>
      <w:tr>
        <w:trPr>
          <w:trHeight w:val="227"/>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0" w:type="dxa"/>
            <w:vAlign w:val="bottom"/>
          </w:tcPr>
          <w:p>
            <w:pPr>
              <w:spacing w:after="0"/>
              <w:rPr>
                <w:sz w:val="1"/>
                <w:szCs w:val="1"/>
                <w:color w:val="auto"/>
              </w:rPr>
            </w:pPr>
          </w:p>
        </w:tc>
      </w:tr>
      <w:tr>
        <w:trPr>
          <w:trHeight w:val="22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67,083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66,670</w:t>
            </w:r>
          </w:p>
        </w:tc>
        <w:tc>
          <w:tcPr>
            <w:tcW w:w="0" w:type="dxa"/>
            <w:vAlign w:val="bottom"/>
          </w:tcPr>
          <w:p>
            <w:pPr>
              <w:spacing w:after="0"/>
              <w:rPr>
                <w:sz w:val="1"/>
                <w:szCs w:val="1"/>
                <w:color w:val="auto"/>
              </w:rPr>
            </w:pPr>
          </w:p>
        </w:tc>
      </w:tr>
      <w:tr>
        <w:trPr>
          <w:trHeight w:val="227"/>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5"/>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67,081</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66,561</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7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9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7"/>
        </w:trPr>
        <w:tc>
          <w:tcPr>
            <w:tcW w:w="6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6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27"/>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used in computing earnings per share: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156,049,147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162,490,179</w:t>
            </w:r>
          </w:p>
        </w:tc>
        <w:tc>
          <w:tcPr>
            <w:tcW w:w="0" w:type="dxa"/>
            <w:vAlign w:val="bottom"/>
          </w:tcPr>
          <w:p>
            <w:pPr>
              <w:spacing w:after="0"/>
              <w:rPr>
                <w:sz w:val="1"/>
                <w:szCs w:val="1"/>
                <w:color w:val="auto"/>
              </w:rPr>
            </w:pPr>
          </w:p>
        </w:tc>
      </w:tr>
      <w:tr>
        <w:trPr>
          <w:trHeight w:val="227"/>
        </w:trPr>
        <w:tc>
          <w:tcPr>
            <w:tcW w:w="6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156,904,203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164,557,333</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559"/>
        </w:trPr>
        <w:tc>
          <w:tcPr>
            <w:tcW w:w="1340" w:type="dxa"/>
            <w:vAlign w:val="bottom"/>
            <w:tcBorders>
              <w:top w:val="single" w:sz="8" w:color="0000FF"/>
            </w:tcBorders>
          </w:tcPr>
          <w:p>
            <w:pPr>
              <w:spacing w:after="0"/>
              <w:rPr>
                <w:sz w:val="24"/>
                <w:szCs w:val="24"/>
                <w:color w:val="auto"/>
              </w:rPr>
            </w:pPr>
          </w:p>
        </w:tc>
        <w:tc>
          <w:tcPr>
            <w:tcW w:w="2520" w:type="dxa"/>
            <w:vAlign w:val="bottom"/>
          </w:tcPr>
          <w:p>
            <w:pPr>
              <w:spacing w:after="0"/>
              <w:rPr>
                <w:sz w:val="24"/>
                <w:szCs w:val="24"/>
                <w:color w:val="auto"/>
              </w:rPr>
            </w:pPr>
          </w:p>
        </w:tc>
        <w:tc>
          <w:tcPr>
            <w:tcW w:w="40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EXLSERVICE HOLDINGS, INC.</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4"/>
        </w:trPr>
        <w:tc>
          <w:tcPr>
            <w:tcW w:w="1340" w:type="dxa"/>
            <w:vAlign w:val="bottom"/>
          </w:tcPr>
          <w:p>
            <w:pPr>
              <w:spacing w:after="0"/>
              <w:rPr>
                <w:sz w:val="18"/>
                <w:szCs w:val="18"/>
                <w:color w:val="auto"/>
              </w:rPr>
            </w:pPr>
          </w:p>
        </w:tc>
        <w:tc>
          <w:tcPr>
            <w:tcW w:w="8280" w:type="dxa"/>
            <w:vAlign w:val="bottom"/>
            <w:gridSpan w:val="7"/>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COMPREHENSIVE INCOME (UNAUDITED)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7"/>
        </w:trPr>
        <w:tc>
          <w:tcPr>
            <w:tcW w:w="1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47"/>
        </w:trPr>
        <w:tc>
          <w:tcPr>
            <w:tcW w:w="1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134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66,561</w:t>
            </w:r>
          </w:p>
        </w:tc>
      </w:tr>
      <w:tr>
        <w:trPr>
          <w:trHeight w:val="22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3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3940" w:type="dxa"/>
            <w:vAlign w:val="bottom"/>
            <w:gridSpan w:val="2"/>
            <w:shd w:val="clear" w:color="auto" w:fill="CCEEFF"/>
          </w:tcPr>
          <w:p>
            <w:pPr>
              <w:jc w:val="center"/>
              <w:ind w:left="2991"/>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r>
      <w:tr>
        <w:trPr>
          <w:trHeight w:val="227"/>
        </w:trPr>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Retirement benefits</w:t>
            </w:r>
          </w:p>
        </w:tc>
        <w:tc>
          <w:tcPr>
            <w:tcW w:w="3940" w:type="dxa"/>
            <w:vAlign w:val="bottom"/>
            <w:gridSpan w:val="2"/>
          </w:tcPr>
          <w:p>
            <w:pPr>
              <w:jc w:val="center"/>
              <w:ind w:left="2991"/>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0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27"/>
        </w:trPr>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3860" w:type="dxa"/>
            <w:vAlign w:val="bottom"/>
            <w:gridSpan w:val="2"/>
            <w:shd w:val="clear" w:color="auto" w:fill="CCEEFF"/>
          </w:tcPr>
          <w:p>
            <w:pPr>
              <w:ind w:left="360"/>
              <w:spacing w:after="0" w:line="228" w:lineRule="exact"/>
              <w:rPr>
                <w:sz w:val="20"/>
                <w:szCs w:val="20"/>
                <w:color w:val="auto"/>
              </w:rPr>
            </w:pPr>
            <w:r>
              <w:rPr>
                <w:rFonts w:ascii="Times New Roman" w:cs="Times New Roman" w:eastAsia="Times New Roman" w:hAnsi="Times New Roman"/>
                <w:sz w:val="18"/>
                <w:szCs w:val="18"/>
                <w:color w:val="auto"/>
              </w:rPr>
              <w:t>Loss on cash flow hedges</w:t>
            </w:r>
            <w:r>
              <w:rPr>
                <w:rFonts w:ascii="Times New Roman" w:cs="Times New Roman" w:eastAsia="Times New Roman" w:hAnsi="Times New Roman"/>
                <w:sz w:val="23"/>
                <w:szCs w:val="23"/>
                <w:color w:val="auto"/>
                <w:vertAlign w:val="superscript"/>
              </w:rPr>
              <w:t>(1)</w:t>
            </w:r>
          </w:p>
        </w:tc>
        <w:tc>
          <w:tcPr>
            <w:tcW w:w="3940" w:type="dxa"/>
            <w:vAlign w:val="bottom"/>
            <w:gridSpan w:val="2"/>
            <w:shd w:val="clear" w:color="auto" w:fill="CCEEFF"/>
          </w:tcPr>
          <w:p>
            <w:pPr>
              <w:jc w:val="center"/>
              <w:ind w:left="2991"/>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27"/>
        </w:trPr>
        <w:tc>
          <w:tcPr>
            <w:tcW w:w="3860" w:type="dxa"/>
            <w:vAlign w:val="bottom"/>
            <w:gridSpan w:val="2"/>
          </w:tcPr>
          <w:p>
            <w:pPr>
              <w:ind w:left="360"/>
              <w:spacing w:after="0" w:line="228" w:lineRule="exact"/>
              <w:rPr>
                <w:sz w:val="20"/>
                <w:szCs w:val="20"/>
                <w:color w:val="auto"/>
              </w:rPr>
            </w:pPr>
            <w:r>
              <w:rPr>
                <w:rFonts w:ascii="Times New Roman" w:cs="Times New Roman" w:eastAsia="Times New Roman" w:hAnsi="Times New Roman"/>
                <w:sz w:val="18"/>
                <w:szCs w:val="18"/>
                <w:color w:val="auto"/>
              </w:rPr>
              <w:t>Retirement benefits</w:t>
            </w:r>
            <w:r>
              <w:rPr>
                <w:rFonts w:ascii="Times New Roman" w:cs="Times New Roman" w:eastAsia="Times New Roman" w:hAnsi="Times New Roman"/>
                <w:sz w:val="23"/>
                <w:szCs w:val="23"/>
                <w:color w:val="auto"/>
                <w:vertAlign w:val="superscript"/>
              </w:rPr>
              <w:t>(2)</w:t>
            </w:r>
          </w:p>
        </w:tc>
        <w:tc>
          <w:tcPr>
            <w:tcW w:w="3940" w:type="dxa"/>
            <w:vAlign w:val="bottom"/>
            <w:gridSpan w:val="2"/>
          </w:tcPr>
          <w:p>
            <w:pPr>
              <w:jc w:val="center"/>
              <w:ind w:left="2991"/>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7"/>
        </w:trPr>
        <w:tc>
          <w:tcPr>
            <w:tcW w:w="3860" w:type="dxa"/>
            <w:vAlign w:val="bottom"/>
            <w:gridSpan w:val="2"/>
            <w:shd w:val="clear" w:color="auto" w:fill="CCEEFF"/>
          </w:tcPr>
          <w:p>
            <w:pPr>
              <w:ind w:left="140"/>
              <w:spacing w:after="0" w:line="228" w:lineRule="exact"/>
              <w:rPr>
                <w:sz w:val="20"/>
                <w:szCs w:val="20"/>
                <w:color w:val="auto"/>
              </w:rPr>
            </w:pPr>
            <w:r>
              <w:rPr>
                <w:rFonts w:ascii="Times New Roman" w:cs="Times New Roman" w:eastAsia="Times New Roman" w:hAnsi="Times New Roman"/>
                <w:sz w:val="18"/>
                <w:szCs w:val="18"/>
                <w:b w:val="1"/>
                <w:bCs w:val="1"/>
                <w:color w:val="auto"/>
              </w:rPr>
              <w:t>Income tax effects relating to above</w:t>
            </w:r>
            <w:r>
              <w:rPr>
                <w:rFonts w:ascii="Times New Roman" w:cs="Times New Roman" w:eastAsia="Times New Roman" w:hAnsi="Times New Roman"/>
                <w:sz w:val="23"/>
                <w:szCs w:val="23"/>
                <w:b w:val="1"/>
                <w:bCs w:val="1"/>
                <w:color w:val="auto"/>
                <w:vertAlign w:val="superscript"/>
              </w:rPr>
              <w:t>(3)</w:t>
            </w:r>
          </w:p>
        </w:tc>
        <w:tc>
          <w:tcPr>
            <w:tcW w:w="3940" w:type="dxa"/>
            <w:vAlign w:val="bottom"/>
            <w:gridSpan w:val="2"/>
            <w:shd w:val="clear" w:color="auto" w:fill="CCEEFF"/>
          </w:tcPr>
          <w:p>
            <w:pPr>
              <w:jc w:val="center"/>
              <w:ind w:left="2991"/>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20"/>
        </w:trPr>
        <w:tc>
          <w:tcPr>
            <w:tcW w:w="3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30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11,935</w:t>
            </w:r>
          </w:p>
        </w:tc>
      </w:tr>
      <w:tr>
        <w:trPr>
          <w:trHeight w:val="245"/>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78,496</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320" w:hanging="313"/>
        <w:spacing w:after="0" w:line="279" w:lineRule="auto"/>
        <w:tabs>
          <w:tab w:leader="none" w:pos="31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reclassified to net income and are included in revenues, net, cost of revenues and operating expenses, as applicable in the unaudited consolidated statements of income.</w:t>
      </w:r>
    </w:p>
    <w:p>
      <w:pPr>
        <w:spacing w:after="0" w:line="53" w:lineRule="exact"/>
        <w:rPr>
          <w:rFonts w:ascii="Times New Roman" w:cs="Times New Roman" w:eastAsia="Times New Roman" w:hAnsi="Times New Roman"/>
          <w:sz w:val="18"/>
          <w:szCs w:val="18"/>
          <w:i w:val="1"/>
          <w:iCs w:val="1"/>
          <w:color w:val="auto"/>
        </w:rPr>
      </w:pPr>
    </w:p>
    <w:p>
      <w:pPr>
        <w:ind w:left="320" w:hanging="313"/>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reclassified to net income and are included in other income, net in the unaudited consolidated statements of income.</w:t>
      </w:r>
    </w:p>
    <w:p>
      <w:pPr>
        <w:spacing w:after="0" w:line="113" w:lineRule="exact"/>
        <w:rPr>
          <w:rFonts w:ascii="Times New Roman" w:cs="Times New Roman" w:eastAsia="Times New Roman" w:hAnsi="Times New Roman"/>
          <w:sz w:val="18"/>
          <w:szCs w:val="18"/>
          <w:i w:val="1"/>
          <w:iCs w:val="1"/>
          <w:color w:val="auto"/>
        </w:rPr>
      </w:pPr>
    </w:p>
    <w:p>
      <w:pPr>
        <w:ind w:left="320" w:hanging="313"/>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income tax effects recognized on cash flow hedges, retirement benefits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count)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2000" w:type="dxa"/>
            <w:vAlign w:val="bottom"/>
            <w:gridSpan w:val="4"/>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78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40" w:type="dxa"/>
            <w:vAlign w:val="bottom"/>
          </w:tcPr>
          <w:p>
            <w:pPr>
              <w:spacing w:after="0"/>
              <w:rPr>
                <w:sz w:val="8"/>
                <w:szCs w:val="8"/>
                <w:color w:val="auto"/>
              </w:rPr>
            </w:pPr>
          </w:p>
        </w:tc>
        <w:tc>
          <w:tcPr>
            <w:tcW w:w="124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00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6"/>
                <w:szCs w:val="16"/>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5"/>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208,855,566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677,562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1,532,979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(180,727)</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(52,425,538)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(1,117,318)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912,705</w:t>
            </w:r>
          </w:p>
        </w:tc>
        <w:tc>
          <w:tcPr>
            <w:tcW w:w="0" w:type="dxa"/>
            <w:vAlign w:val="bottom"/>
          </w:tcPr>
          <w:p>
            <w:pPr>
              <w:spacing w:after="0"/>
              <w:rPr>
                <w:sz w:val="1"/>
                <w:szCs w:val="1"/>
                <w:color w:val="auto"/>
              </w:rPr>
            </w:pPr>
          </w:p>
        </w:tc>
      </w:tr>
      <w:tr>
        <w:trPr>
          <w:trHeight w:val="134"/>
        </w:trPr>
        <w:tc>
          <w:tcPr>
            <w:tcW w:w="2320" w:type="dxa"/>
            <w:vAlign w:val="bottom"/>
          </w:tcPr>
          <w:p>
            <w:pPr>
              <w:ind w:left="20"/>
              <w:spacing w:after="0" w:line="134" w:lineRule="exact"/>
              <w:rPr>
                <w:sz w:val="20"/>
                <w:szCs w:val="20"/>
                <w:color w:val="auto"/>
              </w:rPr>
            </w:pPr>
            <w:r>
              <w:rPr>
                <w:rFonts w:ascii="Times New Roman" w:cs="Times New Roman" w:eastAsia="Times New Roman" w:hAnsi="Times New Roman"/>
                <w:sz w:val="13"/>
                <w:szCs w:val="13"/>
                <w:color w:val="auto"/>
              </w:rPr>
              <w:t>Stock issued against stock-based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1,074,198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22,101</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treasury stock</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19</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(1,158,081)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(40,650)</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Accelerated share repurchases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5, 19</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(3,346,720)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0" w:type="dxa"/>
            <w:vAlign w:val="bottom"/>
          </w:tcPr>
          <w:p>
            <w:pPr>
              <w:spacing w:after="0"/>
              <w:rPr>
                <w:sz w:val="1"/>
                <w:szCs w:val="1"/>
                <w:color w:val="auto"/>
              </w:rPr>
            </w:pPr>
          </w:p>
        </w:tc>
      </w:tr>
      <w:tr>
        <w:trPr>
          <w:trHeight w:val="134"/>
        </w:trPr>
        <w:tc>
          <w:tcPr>
            <w:tcW w:w="2320" w:type="dxa"/>
            <w:vAlign w:val="bottom"/>
          </w:tcPr>
          <w:p>
            <w:pPr>
              <w:ind w:left="20"/>
              <w:spacing w:after="0" w:line="134" w:lineRule="exact"/>
              <w:rPr>
                <w:sz w:val="20"/>
                <w:szCs w:val="20"/>
                <w:color w:val="auto"/>
              </w:rPr>
            </w:pPr>
            <w:r>
              <w:rPr>
                <w:rFonts w:ascii="Times New Roman" w:cs="Times New Roman" w:eastAsia="Times New Roman" w:hAnsi="Times New Roman"/>
                <w:sz w:val="13"/>
                <w:szCs w:val="13"/>
                <w:color w:val="auto"/>
              </w:rPr>
              <w:t>Excise tax on repurchase of 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19</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net of stock issuances</w:t>
            </w: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(56,647)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(56,647)</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67,081</w:t>
            </w:r>
          </w:p>
        </w:tc>
        <w:tc>
          <w:tcPr>
            <w:tcW w:w="0" w:type="dxa"/>
            <w:vAlign w:val="bottom"/>
          </w:tcPr>
          <w:p>
            <w:pPr>
              <w:spacing w:after="0"/>
              <w:rPr>
                <w:sz w:val="1"/>
                <w:szCs w:val="1"/>
                <w:color w:val="auto"/>
              </w:rPr>
            </w:pPr>
          </w:p>
        </w:tc>
      </w:tr>
      <w:tr>
        <w:trPr>
          <w:trHeight w:val="212"/>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209,929,764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674,662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1,600,060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(237,374)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(56,930,339)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(1,258,754)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778,804</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2000" w:type="dxa"/>
            <w:vAlign w:val="bottom"/>
            <w:gridSpan w:val="4"/>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78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40" w:type="dxa"/>
            <w:vAlign w:val="bottom"/>
          </w:tcPr>
          <w:p>
            <w:pPr>
              <w:spacing w:after="0"/>
              <w:rPr>
                <w:sz w:val="8"/>
                <w:szCs w:val="8"/>
                <w:color w:val="auto"/>
              </w:rPr>
            </w:pPr>
          </w:p>
        </w:tc>
        <w:tc>
          <w:tcPr>
            <w:tcW w:w="124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00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6"/>
                <w:szCs w:val="16"/>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5"/>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206,510,587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588,583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1,281,960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(154,722)</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(44,709,375)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(786,165)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929,862</w:t>
            </w:r>
          </w:p>
        </w:tc>
        <w:tc>
          <w:tcPr>
            <w:tcW w:w="0" w:type="dxa"/>
            <w:vAlign w:val="bottom"/>
          </w:tcPr>
          <w:p>
            <w:pPr>
              <w:spacing w:after="0"/>
              <w:rPr>
                <w:sz w:val="1"/>
                <w:szCs w:val="1"/>
                <w:color w:val="auto"/>
              </w:rPr>
            </w:pPr>
          </w:p>
        </w:tc>
      </w:tr>
      <w:tr>
        <w:trPr>
          <w:trHeight w:val="134"/>
        </w:trPr>
        <w:tc>
          <w:tcPr>
            <w:tcW w:w="2320" w:type="dxa"/>
            <w:vAlign w:val="bottom"/>
          </w:tcPr>
          <w:p>
            <w:pPr>
              <w:ind w:left="20"/>
              <w:spacing w:after="0" w:line="134" w:lineRule="exact"/>
              <w:rPr>
                <w:sz w:val="20"/>
                <w:szCs w:val="20"/>
                <w:color w:val="auto"/>
              </w:rPr>
            </w:pPr>
            <w:r>
              <w:rPr>
                <w:rFonts w:ascii="Times New Roman" w:cs="Times New Roman" w:eastAsia="Times New Roman" w:hAnsi="Times New Roman"/>
                <w:sz w:val="13"/>
                <w:szCs w:val="13"/>
                <w:color w:val="auto"/>
              </w:rPr>
              <w:t>Stock issued against stock-based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1,247,910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1,823</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19,187</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treasury stock</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19</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(365,779)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(17,491)</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11,935</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11,935</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66,561</w:t>
            </w:r>
          </w:p>
        </w:tc>
        <w:tc>
          <w:tcPr>
            <w:tcW w:w="0" w:type="dxa"/>
            <w:vAlign w:val="bottom"/>
          </w:tcPr>
          <w:p>
            <w:pPr>
              <w:spacing w:after="0"/>
              <w:rPr>
                <w:sz w:val="1"/>
                <w:szCs w:val="1"/>
                <w:color w:val="auto"/>
              </w:rPr>
            </w:pPr>
          </w:p>
        </w:tc>
      </w:tr>
      <w:tr>
        <w:trPr>
          <w:trHeight w:val="207"/>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207,758,497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609,592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1,348,521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(142,787)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(45,075,154)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(803,656)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1,011,877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358"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18"/>
        </w:trPr>
        <w:tc>
          <w:tcPr>
            <w:tcW w:w="1340" w:type="dxa"/>
            <w:vAlign w:val="bottom"/>
            <w:tcBorders>
              <w:top w:val="single" w:sz="8" w:color="0000FF"/>
            </w:tcBorders>
          </w:tcPr>
          <w:p>
            <w:pPr>
              <w:spacing w:after="0"/>
              <w:rPr>
                <w:sz w:val="24"/>
                <w:szCs w:val="24"/>
                <w:color w:val="auto"/>
              </w:rPr>
            </w:pPr>
          </w:p>
        </w:tc>
        <w:tc>
          <w:tcPr>
            <w:tcW w:w="6560" w:type="dxa"/>
            <w:vAlign w:val="bottom"/>
          </w:tcPr>
          <w:p>
            <w:pPr>
              <w:jc w:val="center"/>
              <w:ind w:left="1931"/>
              <w:spacing w:after="0"/>
              <w:rPr>
                <w:sz w:val="20"/>
                <w:szCs w:val="20"/>
                <w:color w:val="auto"/>
              </w:rPr>
            </w:pPr>
            <w:r>
              <w:rPr>
                <w:rFonts w:ascii="Times New Roman" w:cs="Times New Roman" w:eastAsia="Times New Roman" w:hAnsi="Times New Roman"/>
                <w:sz w:val="18"/>
                <w:szCs w:val="18"/>
                <w:b w:val="1"/>
                <w:bCs w:val="1"/>
                <w:color w:val="auto"/>
                <w:w w:val="98"/>
              </w:rPr>
              <w:t>EXLSERVICE HOLDINGS, INC.</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4"/>
        </w:trPr>
        <w:tc>
          <w:tcPr>
            <w:tcW w:w="1340" w:type="dxa"/>
            <w:vAlign w:val="bottom"/>
          </w:tcPr>
          <w:p>
            <w:pPr>
              <w:spacing w:after="0"/>
              <w:rPr>
                <w:sz w:val="18"/>
                <w:szCs w:val="18"/>
                <w:color w:val="auto"/>
              </w:rPr>
            </w:pPr>
          </w:p>
        </w:tc>
        <w:tc>
          <w:tcPr>
            <w:tcW w:w="7020" w:type="dxa"/>
            <w:vAlign w:val="bottom"/>
            <w:gridSpan w:val="2"/>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 (UNAUDITED)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7"/>
        </w:trPr>
        <w:tc>
          <w:tcPr>
            <w:tcW w:w="1340" w:type="dxa"/>
            <w:vAlign w:val="bottom"/>
          </w:tcPr>
          <w:p>
            <w:pPr>
              <w:spacing w:after="0"/>
              <w:rPr>
                <w:sz w:val="20"/>
                <w:szCs w:val="20"/>
                <w:color w:val="auto"/>
              </w:rPr>
            </w:pPr>
          </w:p>
        </w:tc>
        <w:tc>
          <w:tcPr>
            <w:tcW w:w="6560" w:type="dxa"/>
            <w:vAlign w:val="bottom"/>
          </w:tcPr>
          <w:p>
            <w:pPr>
              <w:jc w:val="center"/>
              <w:ind w:left="193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134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20"/>
        </w:trPr>
        <w:tc>
          <w:tcPr>
            <w:tcW w:w="134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67,081</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66,561</w:t>
            </w:r>
          </w:p>
        </w:tc>
      </w:tr>
      <w:tr>
        <w:trPr>
          <w:trHeight w:val="22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assets</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mark-to-market on investments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foreign currency exchange gain, net</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Others, net</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2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(35,231)</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(22,945)</w:t>
            </w: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 net</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22,901</w:t>
            </w: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employee costs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(65,566)</w:t>
            </w:r>
          </w:p>
        </w:tc>
      </w:tr>
      <w:tr>
        <w:trPr>
          <w:trHeight w:val="227"/>
        </w:trPr>
        <w:tc>
          <w:tcPr>
            <w:tcW w:w="79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r>
      <w:tr>
        <w:trPr>
          <w:trHeight w:val="22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33"/>
        </w:trPr>
        <w:tc>
          <w:tcPr>
            <w:tcW w:w="1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(90,185)</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redemption of investments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81,362</w:t>
            </w:r>
          </w:p>
        </w:tc>
      </w:tr>
      <w:tr>
        <w:trPr>
          <w:trHeight w:val="227"/>
        </w:trPr>
        <w:tc>
          <w:tcPr>
            <w:tcW w:w="79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for) investing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44,025</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w:t>
            </w:r>
          </w:p>
        </w:tc>
      </w:tr>
      <w:tr>
        <w:trPr>
          <w:trHeight w:val="74"/>
        </w:trPr>
        <w:tc>
          <w:tcPr>
            <w:tcW w:w="1340" w:type="dxa"/>
            <w:vAlign w:val="bottom"/>
          </w:tcPr>
          <w:p>
            <w:pPr>
              <w:spacing w:after="0"/>
              <w:rPr>
                <w:sz w:val="6"/>
                <w:szCs w:val="6"/>
                <w:color w:val="auto"/>
              </w:rPr>
            </w:pPr>
          </w:p>
        </w:tc>
        <w:tc>
          <w:tcPr>
            <w:tcW w:w="6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2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Principal payments of finance lease liabilities</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7"/>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w:t>
            </w:r>
          </w:p>
        </w:tc>
      </w:tr>
      <w:tr>
        <w:trPr>
          <w:trHeight w:val="227"/>
        </w:trPr>
        <w:tc>
          <w:tcPr>
            <w:tcW w:w="79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2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for)/provided by financing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r>
      <w:tr>
        <w:trPr>
          <w:trHeight w:val="220"/>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2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w:t>
            </w:r>
          </w:p>
        </w:tc>
      </w:tr>
      <w:tr>
        <w:trPr>
          <w:trHeight w:val="227"/>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171,398</w:t>
            </w:r>
          </w:p>
        </w:tc>
      </w:tr>
      <w:tr>
        <w:trPr>
          <w:trHeight w:val="245"/>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164,778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158,478</w:t>
            </w:r>
          </w:p>
        </w:tc>
      </w:tr>
      <w:tr>
        <w:trPr>
          <w:trHeight w:val="20"/>
        </w:trPr>
        <w:tc>
          <w:tcPr>
            <w:tcW w:w="79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2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27"/>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and equipment not yet paid</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33"/>
        </w:trPr>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58" w:lineRule="exact"/>
        <w:rPr>
          <w:sz w:val="20"/>
          <w:szCs w:val="20"/>
          <w:color w:val="auto"/>
        </w:rPr>
      </w:pPr>
    </w:p>
    <w:p>
      <w:pPr>
        <w:jc w:val="both"/>
        <w:ind w:firstLine="401"/>
        <w:spacing w:after="0" w:line="239"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is a global data and artificial intelligence (“AI”) company that offers services and solutions to reinvent client business models, drive better outcomes and unlock growth with speed. The Company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clients are located principally in the United States of America (“U.S.”) and the United Kingdom (“U.K”).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71" w:lineRule="exact"/>
        <w:rPr>
          <w:sz w:val="20"/>
          <w:szCs w:val="20"/>
          <w:color w:val="auto"/>
        </w:rPr>
      </w:pPr>
    </w:p>
    <w:p>
      <w:pPr>
        <w:jc w:val="both"/>
        <w:ind w:firstLine="401"/>
        <w:spacing w:after="0" w:line="257"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2025.</w:t>
      </w:r>
    </w:p>
    <w:p>
      <w:pPr>
        <w:spacing w:after="0" w:line="115" w:lineRule="exact"/>
        <w:rPr>
          <w:sz w:val="20"/>
          <w:szCs w:val="20"/>
          <w:color w:val="auto"/>
        </w:rPr>
      </w:pPr>
    </w:p>
    <w:p>
      <w:pPr>
        <w:jc w:val="both"/>
        <w:ind w:firstLine="401"/>
        <w:spacing w:after="0" w:line="239" w:lineRule="auto"/>
        <w:rPr>
          <w:sz w:val="20"/>
          <w:szCs w:val="20"/>
          <w:color w:val="auto"/>
        </w:rPr>
      </w:pPr>
      <w:r>
        <w:rPr>
          <w:rFonts w:ascii="Times New Roman" w:cs="Times New Roman" w:eastAsia="Times New Roman" w:hAnsi="Times New Roman"/>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0" w:lineRule="exact"/>
        <w:rPr>
          <w:sz w:val="20"/>
          <w:szCs w:val="20"/>
          <w:color w:val="auto"/>
        </w:rPr>
      </w:pPr>
    </w:p>
    <w:p>
      <w:pPr>
        <w:jc w:val="both"/>
        <w:ind w:firstLine="401"/>
        <w:spacing w:after="0" w:line="24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All intercompany balances and transactions are eliminated in consolidation. The Company’s investments in equity affiliates are recorded using equity method of accounting.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71" w:lineRule="exact"/>
        <w:rPr>
          <w:sz w:val="20"/>
          <w:szCs w:val="20"/>
          <w:color w:val="auto"/>
        </w:rPr>
      </w:pPr>
    </w:p>
    <w:p>
      <w:pPr>
        <w:jc w:val="both"/>
        <w:ind w:firstLine="401"/>
        <w:spacing w:after="0" w:line="250"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carrying amounts of assets and liabilities and disclosure of contingent assets and liabilities included in the unaudited consolidated financial statements. Although these estimates are based on management’s best assessment of the current business environment, actual results may be different from those estimates. The significant estimates that affect the unaudited consolidated financial statements include, but are not limited to, estimates of the contingent consideration, credit risk of customers, the nature and timing of the satisfaction of performance obligations, the standalone selling price of performance obligations,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pattern of generation of economic benefits to calculate depreciation and amortization for long-lived assets and other intangible assets, and recoverability of long-lived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Recent Accounting Pronouncements</w:t>
      </w:r>
    </w:p>
    <w:p>
      <w:pPr>
        <w:spacing w:after="0" w:line="249"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No. 2024-03, </w:t>
      </w:r>
      <w:r>
        <w:rPr>
          <w:rFonts w:ascii="Times New Roman" w:cs="Times New Roman" w:eastAsia="Times New Roman" w:hAnsi="Times New Roman"/>
          <w:sz w:val="18"/>
          <w:szCs w:val="18"/>
          <w:i w:val="1"/>
          <w:iCs w:val="1"/>
          <w:color w:val="auto"/>
        </w:rPr>
        <w:t>Income Statement - 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(“ASC Topic 220”): Expense Disaggregation Disclosures</w:t>
      </w:r>
      <w:r>
        <w:rPr>
          <w:rFonts w:ascii="Times New Roman" w:cs="Times New Roman" w:eastAsia="Times New Roman" w:hAnsi="Times New Roman"/>
          <w:sz w:val="18"/>
          <w:szCs w:val="18"/>
          <w:color w:val="auto"/>
        </w:rPr>
        <w:t>. This ASU improves disclosures relating to the disaggregation of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requires additional disclosures about the nature of expenses in commonly presented financial statement captions on an annual and interim basis for all public business entities. The ASU will be effective for annual reporting periods beginning after December 15, 2026, and interim periods within annual reporting periods beginning after December 15, 2027, with early adoption permitted. The Company is currently evaluating the impact of this ASU on its consolidated financial statements.</w:t>
      </w:r>
    </w:p>
    <w:p>
      <w:pPr>
        <w:spacing w:after="0" w:line="208"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This ASU enhances the guidance for internal-use software development costs by removing references to project stages and simplifying the criteria for when capitalization of software development costs shall begin. The ASU will be effective for annual reporting periods beginning after December 15, 2027, including interim periods within those years, with early adoption permitted. The Company is currently evaluating the impact of this ASU on its consolidated financial statements.</w:t>
      </w:r>
    </w:p>
    <w:p>
      <w:pPr>
        <w:spacing w:after="0" w:line="210"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(“ASC Topic 832”): Accounting for Government Grants Received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Entities. </w:t>
      </w:r>
      <w:r>
        <w:rPr>
          <w:rFonts w:ascii="Times New Roman" w:cs="Times New Roman" w:eastAsia="Times New Roman" w:hAnsi="Times New Roman"/>
          <w:sz w:val="18"/>
          <w:szCs w:val="18"/>
          <w:color w:val="auto"/>
        </w:rPr>
        <w:t>This ASU provides authoritative guidance on the recognition, measurement, presentation, and disclosure of government grants for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creating a framework that previously did not exist under U.S. GAAP. The ASU will be effective for annual reporting periods beginning after December 15, 2028, including interim periods within those years, with early adoption permitted. The Company is currently evaluating the impact of this ASU on its consolidated financial statements.</w:t>
      </w:r>
    </w:p>
    <w:p>
      <w:pPr>
        <w:spacing w:after="0" w:line="210"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(“ASC Topic 270”): Narrow-Scope Improvements.</w:t>
      </w:r>
      <w:r>
        <w:rPr>
          <w:rFonts w:ascii="Times New Roman" w:cs="Times New Roman" w:eastAsia="Times New Roman" w:hAnsi="Times New Roman"/>
          <w:sz w:val="18"/>
          <w:szCs w:val="18"/>
          <w:color w:val="auto"/>
        </w:rPr>
        <w:t xml:space="preserve"> This ASU provides a comprehensive list of interim disclosures that are required by U.S. GAAP and incorporates disclosure principle of material events or changes occurred since the prior year-end. The ASU will be effective for interim reporting periods within annual reporting periods beginning after December 15, 2027, with early adoption permitted. The Company is currently evaluating the impact of this ASU on its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Recently Adopted and Applicable Accounting Pronouncements</w:t>
      </w:r>
    </w:p>
    <w:p>
      <w:pPr>
        <w:spacing w:after="0" w:line="156" w:lineRule="exact"/>
        <w:rPr>
          <w:sz w:val="20"/>
          <w:szCs w:val="20"/>
          <w:color w:val="auto"/>
        </w:rPr>
      </w:pPr>
    </w:p>
    <w:p>
      <w:pPr>
        <w:jc w:val="both"/>
        <w:ind w:firstLine="401"/>
        <w:spacing w:after="0"/>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(“ASC Topic 326”): Measurement of Credit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Accounts Receivable and Contract Assets</w:t>
      </w:r>
      <w:r>
        <w:rPr>
          <w:rFonts w:ascii="Times New Roman" w:cs="Times New Roman" w:eastAsia="Times New Roman" w:hAnsi="Times New Roman"/>
          <w:sz w:val="18"/>
          <w:szCs w:val="18"/>
          <w:color w:val="auto"/>
        </w:rPr>
        <w:t>. This ASU provides a practical expedient when estimating expected credit losses for current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contract assets arising from transactions accounted for under ASC Topic 606. The ASU is effective for annual reporting periods beginning after December 15, 2025, including interim periods within those years, with early adoption permitted. The Company has adopted this ASU beginning January 1, 2026. The adoption of this ASU did not have a material impact on the Company’s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171" w:lineRule="exact"/>
        <w:rPr>
          <w:sz w:val="20"/>
          <w:szCs w:val="20"/>
          <w:color w:val="auto"/>
        </w:rPr>
      </w:pPr>
    </w:p>
    <w:p>
      <w:pPr>
        <w:jc w:val="both"/>
        <w:ind w:right="20" w:firstLine="401"/>
        <w:spacing w:after="0" w:line="277" w:lineRule="auto"/>
        <w:rPr>
          <w:sz w:val="20"/>
          <w:szCs w:val="20"/>
          <w:color w:val="auto"/>
        </w:rPr>
      </w:pPr>
      <w:r>
        <w:rPr>
          <w:rFonts w:ascii="Times New Roman" w:cs="Times New Roman" w:eastAsia="Times New Roman" w:hAnsi="Times New Roman"/>
          <w:sz w:val="18"/>
          <w:szCs w:val="18"/>
          <w:color w:val="auto"/>
        </w:rPr>
        <w:t>The Company is a provider of data and AI-led solutions and services and digital operations solutions and services in an integrated manner for clients across industry verticals.</w:t>
      </w:r>
    </w:p>
    <w:p>
      <w:pPr>
        <w:spacing w:after="0" w:line="110" w:lineRule="exact"/>
        <w:rPr>
          <w:sz w:val="20"/>
          <w:szCs w:val="20"/>
          <w:color w:val="auto"/>
        </w:rPr>
      </w:pPr>
    </w:p>
    <w:p>
      <w:pPr>
        <w:jc w:val="both"/>
        <w:ind w:right="20" w:firstLine="401"/>
        <w:spacing w:after="0" w:line="255" w:lineRule="auto"/>
        <w:rPr>
          <w:sz w:val="20"/>
          <w:szCs w:val="20"/>
          <w:color w:val="auto"/>
        </w:rPr>
      </w:pPr>
      <w:r>
        <w:rPr>
          <w:rFonts w:ascii="Times New Roman" w:cs="Times New Roman" w:eastAsia="Times New Roman" w:hAnsi="Times New Roman"/>
          <w:sz w:val="18"/>
          <w:szCs w:val="18"/>
          <w:color w:val="auto"/>
        </w:rPr>
        <w:t>The Company’s operating model is comprised of Industry Market Units (“IMUs”) to focus on delivering higher value to clients leveraging full suite of capabilities and Strategic Growth Units to focus on rapidly advancing the capabilities specific to various industries and client needs. The Company manages and reports financial information through its four reportable segments that are aligned to its IMUs: Insurance, Healthcare and Life Sciences, Banking, Capital Markets and Diversified Industries, and International Growth Markets, which reflects the manner in which the Company’s Chief Operating Decision Maker (“CODM”) reviews financial information and makes operating decisions.</w:t>
      </w:r>
    </w:p>
    <w:p>
      <w:pPr>
        <w:spacing w:after="0" w:line="129" w:lineRule="exact"/>
        <w:rPr>
          <w:sz w:val="20"/>
          <w:szCs w:val="20"/>
          <w:color w:val="auto"/>
        </w:rPr>
      </w:pPr>
    </w:p>
    <w:p>
      <w:pPr>
        <w:jc w:val="both"/>
        <w:ind w:right="20" w:firstLine="401"/>
        <w:spacing w:after="0" w:line="257"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CODM. The CODM generally reviews and uses financial information such as revenues, cost of revenues, and gross profit predominantly in the annual budgeting and forecasting process to allocate an overall budget, measure segment performance, and evaluate pricing strategy. The CODM considers budget-to-actuals variances on a quarterly basis for making decisions about the allocation of operating and capital resources to each segment.</w:t>
      </w:r>
    </w:p>
    <w:p>
      <w:pPr>
        <w:spacing w:after="0" w:line="129" w:lineRule="exact"/>
        <w:rPr>
          <w:sz w:val="20"/>
          <w:szCs w:val="20"/>
          <w:color w:val="auto"/>
        </w:rPr>
      </w:pPr>
    </w:p>
    <w:p>
      <w:pPr>
        <w:jc w:val="both"/>
        <w:ind w:right="20" w:firstLine="401"/>
        <w:spacing w:after="0" w:line="277" w:lineRule="auto"/>
        <w:rPr>
          <w:sz w:val="20"/>
          <w:szCs w:val="20"/>
          <w:color w:val="auto"/>
        </w:rPr>
      </w:pPr>
      <w:r>
        <w:rPr>
          <w:rFonts w:ascii="Times New Roman" w:cs="Times New Roman" w:eastAsia="Times New Roman" w:hAnsi="Times New Roman"/>
          <w:sz w:val="18"/>
          <w:szCs w:val="18"/>
          <w:color w:val="auto"/>
        </w:rPr>
        <w:t>Revenues, net and cost of revenues for the three months ended March 31, 2026 and 2025, respectively, for each of the reportable segments, are as follows:</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4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Healthcare and</w:t>
            </w: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40"/>
              <w:spacing w:after="0" w:line="143" w:lineRule="exact"/>
              <w:rPr>
                <w:sz w:val="20"/>
                <w:szCs w:val="20"/>
                <w:color w:val="auto"/>
              </w:rPr>
            </w:pPr>
            <w:r>
              <w:rPr>
                <w:rFonts w:ascii="Times New Roman" w:cs="Times New Roman" w:eastAsia="Times New Roman" w:hAnsi="Times New Roman"/>
                <w:sz w:val="15"/>
                <w:szCs w:val="15"/>
                <w:b w:val="1"/>
                <w:bCs w:val="1"/>
                <w:color w:val="auto"/>
              </w:rPr>
              <w:t>Banking, Capital</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4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ind w:left="40"/>
              <w:spacing w:after="0" w:line="153" w:lineRule="exact"/>
              <w:rPr>
                <w:sz w:val="20"/>
                <w:szCs w:val="20"/>
                <w:color w:val="auto"/>
              </w:rPr>
            </w:pPr>
            <w:r>
              <w:rPr>
                <w:rFonts w:ascii="Times New Roman" w:cs="Times New Roman" w:eastAsia="Times New Roman" w:hAnsi="Times New Roman"/>
                <w:sz w:val="15"/>
                <w:szCs w:val="15"/>
                <w:b w:val="1"/>
                <w:bCs w:val="1"/>
                <w:color w:val="auto"/>
              </w:rPr>
              <w:t>Insurance</w:t>
            </w:r>
          </w:p>
        </w:tc>
        <w:tc>
          <w:tcPr>
            <w:tcW w:w="10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20" w:type="dxa"/>
            <w:vAlign w:val="bottom"/>
            <w:gridSpan w:val="2"/>
            <w:vMerge w:val="restart"/>
            <w:shd w:val="clear" w:color="auto" w:fill="CCEEFF"/>
          </w:tcPr>
          <w:p>
            <w:pPr>
              <w:jc w:val="center"/>
              <w:ind w:right="240"/>
              <w:spacing w:after="0" w:line="153" w:lineRule="exact"/>
              <w:rPr>
                <w:sz w:val="20"/>
                <w:szCs w:val="20"/>
                <w:color w:val="auto"/>
              </w:rPr>
            </w:pPr>
            <w:r>
              <w:rPr>
                <w:rFonts w:ascii="Times New Roman" w:cs="Times New Roman" w:eastAsia="Times New Roman" w:hAnsi="Times New Roman"/>
                <w:sz w:val="15"/>
                <w:szCs w:val="15"/>
                <w:b w:val="1"/>
                <w:bCs w:val="1"/>
                <w:color w:val="auto"/>
                <w:w w:val="99"/>
              </w:rPr>
              <w:t>Markets and</w:t>
            </w:r>
          </w:p>
        </w:tc>
        <w:tc>
          <w:tcPr>
            <w:tcW w:w="14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restart"/>
            <w:shd w:val="clear" w:color="auto" w:fill="CCEEFF"/>
          </w:tcPr>
          <w:p>
            <w:pPr>
              <w:jc w:val="right"/>
              <w:ind w:right="313"/>
              <w:spacing w:after="0" w:line="153"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86"/>
        </w:trPr>
        <w:tc>
          <w:tcPr>
            <w:tcW w:w="4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Life Sciences</w:t>
            </w:r>
          </w:p>
        </w:tc>
        <w:tc>
          <w:tcPr>
            <w:tcW w:w="14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130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Growth Markets</w:t>
            </w:r>
          </w:p>
        </w:tc>
        <w:tc>
          <w:tcPr>
            <w:tcW w:w="24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5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Diversified Industries</w:t>
            </w:r>
          </w:p>
        </w:tc>
        <w:tc>
          <w:tcPr>
            <w:tcW w:w="1300" w:type="dxa"/>
            <w:vAlign w:val="bottom"/>
            <w:gridSpan w:val="3"/>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60" w:type="dxa"/>
            <w:vAlign w:val="bottom"/>
            <w:gridSpan w:val="3"/>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193,930</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151,920</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97,108</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287,801</w:t>
            </w: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Infrastructure and technology costs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41,238</w:t>
            </w:r>
          </w:p>
        </w:tc>
        <w:tc>
          <w:tcPr>
            <w:tcW w:w="0" w:type="dxa"/>
            <w:vAlign w:val="bottom"/>
          </w:tcPr>
          <w:p>
            <w:pPr>
              <w:spacing w:after="0"/>
              <w:rPr>
                <w:sz w:val="1"/>
                <w:szCs w:val="1"/>
                <w:color w:val="auto"/>
              </w:rPr>
            </w:pPr>
          </w:p>
        </w:tc>
      </w:tr>
      <w:tr>
        <w:trPr>
          <w:trHeight w:val="227"/>
        </w:trPr>
        <w:tc>
          <w:tcPr>
            <w:tcW w:w="4520" w:type="dxa"/>
            <w:vAlign w:val="bottom"/>
            <w:tcBorders>
              <w:bottom w:val="single" w:sz="8" w:color="CCEEFF"/>
            </w:tcBorders>
          </w:tcPr>
          <w:p>
            <w:pPr>
              <w:ind w:left="160"/>
              <w:spacing w:after="0" w:line="228"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0" w:type="dxa"/>
            <w:vAlign w:val="bottom"/>
          </w:tcPr>
          <w:p>
            <w:pPr>
              <w:spacing w:after="0"/>
              <w:rPr>
                <w:sz w:val="1"/>
                <w:szCs w:val="1"/>
                <w:color w:val="auto"/>
              </w:rPr>
            </w:pPr>
          </w:p>
        </w:tc>
      </w:tr>
      <w:tr>
        <w:trPr>
          <w:trHeight w:val="245"/>
        </w:trPr>
        <w:tc>
          <w:tcPr>
            <w:tcW w:w="4520" w:type="dxa"/>
            <w:vAlign w:val="bottom"/>
            <w:tcBorders>
              <w:bottom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5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130,255</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117" w:right="319" w:bottom="1440" w:gutter="0" w:footer="0" w:header="0"/>
        </w:sectPr>
      </w:pPr>
    </w:p>
    <w:p>
      <w:pPr>
        <w:ind w:left="340"/>
        <w:spacing w:after="0" w:line="218" w:lineRule="auto"/>
        <w:rPr>
          <w:sz w:val="20"/>
          <w:szCs w:val="20"/>
          <w:color w:val="auto"/>
        </w:rPr>
      </w:pPr>
      <w:r>
        <w:rPr>
          <w:rFonts w:ascii="Times New Roman" w:cs="Times New Roman" w:eastAsia="Times New Roman" w:hAnsi="Times New Roman"/>
          <w:sz w:val="18"/>
          <w:szCs w:val="18"/>
          <w:color w:val="auto"/>
        </w:rPr>
        <w:t>Foreign exchange gain, net, interest expense and other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net</w:t>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Income before income tax expense and earnings from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-119380</wp:posOffset>
            </wp:positionV>
            <wp:extent cx="6938645" cy="262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8645" cy="26289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affiliates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(425)</w:t>
      </w:r>
    </w:p>
    <w:p>
      <w:pPr>
        <w:spacing w:after="0" w:line="180" w:lineRule="exact"/>
        <w:rPr>
          <w:sz w:val="20"/>
          <w:szCs w:val="20"/>
          <w:color w:val="auto"/>
        </w:rPr>
      </w:pPr>
    </w:p>
    <w:p>
      <w:pPr>
        <w:ind w:left="550" w:hanging="550"/>
        <w:spacing w:after="0"/>
        <w:tabs>
          <w:tab w:leader="none" w:pos="5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41275</wp:posOffset>
            </wp:positionV>
            <wp:extent cx="712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9430" w:space="720"/>
            <w:col w:w="1110"/>
          </w:cols>
          <w:pgMar w:left="320" w:top="117" w:right="319" w:bottom="1440" w:gutter="0" w:footer="0" w:header="0"/>
          <w:type w:val="continuous"/>
        </w:sectPr>
      </w:pPr>
    </w:p>
    <w:p>
      <w:pPr>
        <w:spacing w:after="0" w:line="54" w:lineRule="exact"/>
        <w:rPr>
          <w:sz w:val="20"/>
          <w:szCs w:val="20"/>
          <w:color w:val="auto"/>
        </w:rPr>
      </w:pPr>
    </w:p>
    <w:p>
      <w:pPr>
        <w:ind w:left="660" w:hanging="2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167" w:lineRule="exact"/>
        <w:rPr>
          <w:rFonts w:ascii="Times New Roman" w:cs="Times New Roman" w:eastAsia="Times New Roman" w:hAnsi="Times New Roman"/>
          <w:sz w:val="18"/>
          <w:szCs w:val="18"/>
          <w:color w:val="auto"/>
        </w:rPr>
      </w:pPr>
    </w:p>
    <w:p>
      <w:pPr>
        <w:ind w:left="80" w:right="20" w:firstLine="328"/>
        <w:spacing w:after="0" w:line="277" w:lineRule="auto"/>
        <w:tabs>
          <w:tab w:leader="none" w:pos="6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151"/>
        </w:trPr>
        <w:tc>
          <w:tcPr>
            <w:tcW w:w="4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Healthcare and</w:t>
            </w:r>
          </w:p>
        </w:tc>
        <w:tc>
          <w:tcPr>
            <w:tcW w:w="14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gridSpan w:val="2"/>
            <w:shd w:val="clear" w:color="auto" w:fill="CCEEFF"/>
          </w:tcPr>
          <w:p>
            <w:pPr>
              <w:jc w:val="center"/>
              <w:ind w:right="240"/>
              <w:spacing w:after="0" w:line="151" w:lineRule="exact"/>
              <w:rPr>
                <w:sz w:val="20"/>
                <w:szCs w:val="20"/>
                <w:color w:val="auto"/>
              </w:rPr>
            </w:pPr>
            <w:r>
              <w:rPr>
                <w:rFonts w:ascii="Times New Roman" w:cs="Times New Roman" w:eastAsia="Times New Roman" w:hAnsi="Times New Roman"/>
                <w:sz w:val="15"/>
                <w:szCs w:val="15"/>
                <w:b w:val="1"/>
                <w:bCs w:val="1"/>
                <w:color w:val="auto"/>
              </w:rPr>
              <w:t>Banking, Capital</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67"/>
        </w:trPr>
        <w:tc>
          <w:tcPr>
            <w:tcW w:w="44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20" w:type="dxa"/>
            <w:vAlign w:val="bottom"/>
            <w:gridSpan w:val="2"/>
            <w:vMerge w:val="restart"/>
            <w:shd w:val="clear" w:color="auto" w:fill="CCEEFF"/>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w w:val="99"/>
              </w:rPr>
              <w:t>Markets and</w:t>
            </w:r>
          </w:p>
        </w:tc>
        <w:tc>
          <w:tcPr>
            <w:tcW w:w="12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Life Sciences</w:t>
            </w:r>
          </w:p>
        </w:tc>
        <w:tc>
          <w:tcPr>
            <w:tcW w:w="14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126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Growth Markets</w:t>
            </w:r>
          </w:p>
        </w:tc>
        <w:tc>
          <w:tcPr>
            <w:tcW w:w="26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4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Diversified Industries</w:t>
            </w:r>
          </w:p>
        </w:tc>
        <w:tc>
          <w:tcPr>
            <w:tcW w:w="1260" w:type="dxa"/>
            <w:vAlign w:val="bottom"/>
            <w:gridSpan w:val="3"/>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172,056</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125,592</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85,669</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501,019</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Employee costs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258,587</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Infrastructure and technology costs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34,314</w:t>
            </w:r>
          </w:p>
        </w:tc>
        <w:tc>
          <w:tcPr>
            <w:tcW w:w="0" w:type="dxa"/>
            <w:vAlign w:val="bottom"/>
          </w:tcPr>
          <w:p>
            <w:pPr>
              <w:spacing w:after="0"/>
              <w:rPr>
                <w:sz w:val="1"/>
                <w:szCs w:val="1"/>
                <w:color w:val="auto"/>
              </w:rPr>
            </w:pPr>
          </w:p>
        </w:tc>
      </w:tr>
      <w:tr>
        <w:trPr>
          <w:trHeight w:val="227"/>
        </w:trPr>
        <w:tc>
          <w:tcPr>
            <w:tcW w:w="4480" w:type="dxa"/>
            <w:vAlign w:val="bottom"/>
            <w:tcBorders>
              <w:bottom w:val="single" w:sz="8" w:color="CCEEFF"/>
            </w:tcBorders>
          </w:tcPr>
          <w:p>
            <w:pPr>
              <w:ind w:left="160"/>
              <w:spacing w:after="0" w:line="227" w:lineRule="exact"/>
              <w:rPr>
                <w:sz w:val="20"/>
                <w:szCs w:val="20"/>
                <w:color w:val="auto"/>
              </w:rPr>
            </w:pPr>
            <w:r>
              <w:rPr>
                <w:rFonts w:ascii="Times New Roman" w:cs="Times New Roman" w:eastAsia="Times New Roman" w:hAnsi="Times New Roman"/>
                <w:sz w:val="17"/>
                <w:szCs w:val="17"/>
                <w:color w:val="auto"/>
              </w:rPr>
              <w:t>Other costs</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0" w:type="dxa"/>
            <w:vAlign w:val="bottom"/>
          </w:tcPr>
          <w:p>
            <w:pPr>
              <w:spacing w:after="0"/>
              <w:rPr>
                <w:sz w:val="1"/>
                <w:szCs w:val="1"/>
                <w:color w:val="auto"/>
              </w:rPr>
            </w:pPr>
          </w:p>
        </w:tc>
      </w:tr>
      <w:tr>
        <w:trPr>
          <w:trHeight w:val="245"/>
        </w:trPr>
        <w:tc>
          <w:tcPr>
            <w:tcW w:w="4480" w:type="dxa"/>
            <w:vAlign w:val="bottom"/>
            <w:tcBorders>
              <w:bottom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114,899</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ind w:left="340"/>
        <w:spacing w:after="0"/>
        <w:rPr>
          <w:sz w:val="20"/>
          <w:szCs w:val="20"/>
          <w:color w:val="auto"/>
        </w:rPr>
      </w:pPr>
      <w:r>
        <w:rPr>
          <w:rFonts w:ascii="Times New Roman" w:cs="Times New Roman" w:eastAsia="Times New Roman" w:hAnsi="Times New Roman"/>
          <w:sz w:val="16"/>
          <w:szCs w:val="16"/>
          <w:color w:val="auto"/>
        </w:rPr>
        <w:t>Foreign exchange gain, net, interest expense and other income,</w:t>
      </w:r>
    </w:p>
    <w:p>
      <w:pPr>
        <w:ind w:left="340"/>
        <w:spacing w:after="0"/>
        <w:rPr>
          <w:sz w:val="20"/>
          <w:szCs w:val="20"/>
          <w:color w:val="auto"/>
        </w:rPr>
      </w:pPr>
      <w:r>
        <w:rPr>
          <w:rFonts w:ascii="Times New Roman" w:cs="Times New Roman" w:eastAsia="Times New Roman" w:hAnsi="Times New Roman"/>
          <w:sz w:val="17"/>
          <w:szCs w:val="17"/>
          <w:color w:val="auto"/>
        </w:rPr>
        <w:t>net</w:t>
      </w:r>
    </w:p>
    <w:p>
      <w:pPr>
        <w:ind w:left="340"/>
        <w:spacing w:after="0" w:line="235" w:lineRule="auto"/>
        <w:rPr>
          <w:sz w:val="20"/>
          <w:szCs w:val="20"/>
          <w:color w:val="auto"/>
        </w:rPr>
      </w:pPr>
      <w:r>
        <w:rPr>
          <w:rFonts w:ascii="Times New Roman" w:cs="Times New Roman" w:eastAsia="Times New Roman" w:hAnsi="Times New Roman"/>
          <w:sz w:val="17"/>
          <w:szCs w:val="17"/>
          <w:color w:val="auto"/>
        </w:rPr>
        <w:t>Income before income tax expense and earnings from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-115570</wp:posOffset>
            </wp:positionV>
            <wp:extent cx="6887845" cy="245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7845" cy="24574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color w:val="auto"/>
        </w:rPr>
        <w:t>affiliates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Exclusive of depreciation and amortization expense.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1,751</w:t>
      </w:r>
    </w:p>
    <w:p>
      <w:pPr>
        <w:spacing w:after="0" w:line="154" w:lineRule="exact"/>
        <w:rPr>
          <w:sz w:val="20"/>
          <w:szCs w:val="20"/>
          <w:color w:val="auto"/>
        </w:rPr>
      </w:pPr>
    </w:p>
    <w:p>
      <w:pPr>
        <w:ind w:left="540" w:hanging="537"/>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04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9360" w:space="720"/>
            <w:col w:w="1160"/>
          </w:cols>
          <w:pgMar w:left="320" w:top="117" w:right="339" w:bottom="1440" w:gutter="0" w:footer="0" w:header="0"/>
          <w:type w:val="continuous"/>
        </w:sectPr>
      </w:pPr>
    </w:p>
    <w:p>
      <w:pPr>
        <w:ind w:left="80" w:firstLine="328"/>
        <w:spacing w:after="0" w:line="277"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net by service type, were as follows:</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70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r>
      <w:tr>
        <w:trPr>
          <w:trHeight w:val="208"/>
        </w:trPr>
        <w:tc>
          <w:tcPr>
            <w:tcW w:w="7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r>
      <w:tr>
        <w:trPr>
          <w:trHeight w:val="222"/>
        </w:trPr>
        <w:tc>
          <w:tcPr>
            <w:tcW w:w="70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Data and AI-led</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267,929</w:t>
            </w:r>
          </w:p>
        </w:tc>
      </w:tr>
      <w:tr>
        <w:trPr>
          <w:trHeight w:val="227"/>
        </w:trPr>
        <w:tc>
          <w:tcPr>
            <w:tcW w:w="7080" w:type="dxa"/>
            <w:vAlign w:val="bottom"/>
            <w:tcBorders>
              <w:bottom w:val="single" w:sz="8" w:color="CCEEFF"/>
            </w:tcBorders>
          </w:tcPr>
          <w:p>
            <w:pPr>
              <w:ind w:left="20"/>
              <w:spacing w:after="0" w:line="228" w:lineRule="exact"/>
              <w:rPr>
                <w:sz w:val="20"/>
                <w:szCs w:val="20"/>
                <w:color w:val="auto"/>
              </w:rPr>
            </w:pPr>
            <w:r>
              <w:rPr>
                <w:rFonts w:ascii="Times New Roman" w:cs="Times New Roman" w:eastAsia="Times New Roman" w:hAnsi="Times New Roman"/>
                <w:sz w:val="18"/>
                <w:szCs w:val="18"/>
                <w:color w:val="auto"/>
              </w:rPr>
              <w:t>Digital operations</w:t>
            </w:r>
            <w:r>
              <w:rPr>
                <w:rFonts w:ascii="Times New Roman" w:cs="Times New Roman" w:eastAsia="Times New Roman" w:hAnsi="Times New Roman"/>
                <w:sz w:val="23"/>
                <w:szCs w:val="23"/>
                <w:color w:val="auto"/>
                <w:vertAlign w:val="superscript"/>
              </w:rPr>
              <w:t>(2)</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233,090</w:t>
            </w:r>
          </w:p>
        </w:tc>
      </w:tr>
      <w:tr>
        <w:trPr>
          <w:trHeight w:val="245"/>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501,019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408"/>
        <w:spacing w:after="0" w:line="239" w:lineRule="auto"/>
        <w:tabs>
          <w:tab w:leader="none" w:pos="6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AI-led revenue is derived from the Company’s Data Management, Analytics, AI services and solutions businesses. It includes revenue from fully integrated business operations like payment integrity services and platform-based solutions and services, which combine operations, technology, data, analytics, and AI. It also includes revenue from operations that embed data and AI within clients’ operational workflows.</w:t>
      </w:r>
    </w:p>
    <w:p>
      <w:pPr>
        <w:spacing w:after="0" w:line="209" w:lineRule="exact"/>
        <w:rPr>
          <w:rFonts w:ascii="Times New Roman" w:cs="Times New Roman" w:eastAsia="Times New Roman" w:hAnsi="Times New Roman"/>
          <w:sz w:val="18"/>
          <w:szCs w:val="18"/>
          <w:color w:val="auto"/>
        </w:rPr>
      </w:pPr>
    </w:p>
    <w:p>
      <w:pPr>
        <w:jc w:val="both"/>
        <w:ind w:firstLine="408"/>
        <w:spacing w:after="0" w:line="247" w:lineRule="auto"/>
        <w:tabs>
          <w:tab w:leader="none" w:pos="6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operations revenue is derived from managed services that blend Company’s deep domain expertise with industry-specific solutions and services to operate clients’ business functions with enhanced productivity, greater speed and improved accuracy. These digital operations deployments form the foundation for future client transformation opportunities to infuse AI into client workflows and unlock even greater value.</w:t>
      </w:r>
    </w:p>
    <w:p>
      <w:pPr>
        <w:spacing w:after="0" w:line="136" w:lineRule="exact"/>
        <w:rPr>
          <w:sz w:val="20"/>
          <w:szCs w:val="20"/>
          <w:color w:val="auto"/>
        </w:rPr>
      </w:pPr>
    </w:p>
    <w:p>
      <w:pPr>
        <w:ind w:firstLine="401"/>
        <w:spacing w:after="0" w:line="277" w:lineRule="auto"/>
        <w:rPr>
          <w:sz w:val="20"/>
          <w:szCs w:val="20"/>
          <w:color w:val="auto"/>
        </w:rPr>
      </w:pPr>
      <w:r>
        <w:rPr>
          <w:rFonts w:ascii="Times New Roman" w:cs="Times New Roman" w:eastAsia="Times New Roman" w:hAnsi="Times New Roman"/>
          <w:sz w:val="18"/>
          <w:szCs w:val="18"/>
          <w:color w:val="auto"/>
        </w:rPr>
        <w:t>All four reportable segments of the Company include revenues from both data and AI-led solutions and services and digital operations solutions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94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The Company attributes revenues based on geographical markets where the customer operations being served by it are located.</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7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473,143</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415,350</w:t>
            </w:r>
          </w:p>
        </w:tc>
        <w:tc>
          <w:tcPr>
            <w:tcW w:w="0" w:type="dxa"/>
            <w:vAlign w:val="bottom"/>
          </w:tcPr>
          <w:p>
            <w:pPr>
              <w:spacing w:after="0"/>
              <w:rPr>
                <w:sz w:val="1"/>
                <w:szCs w:val="1"/>
                <w:color w:val="auto"/>
              </w:rPr>
            </w:pP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 &amp; Europe</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75,693</w:t>
            </w:r>
          </w:p>
        </w:tc>
        <w:tc>
          <w:tcPr>
            <w:tcW w:w="0" w:type="dxa"/>
            <w:vAlign w:val="bottom"/>
          </w:tcPr>
          <w:p>
            <w:pPr>
              <w:spacing w:after="0"/>
              <w:rPr>
                <w:sz w:val="1"/>
                <w:szCs w:val="1"/>
                <w:color w:val="auto"/>
              </w:rPr>
            </w:pPr>
          </w:p>
        </w:tc>
      </w:tr>
      <w:tr>
        <w:trPr>
          <w:trHeight w:val="227"/>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0" w:type="dxa"/>
            <w:vAlign w:val="bottom"/>
          </w:tcPr>
          <w:p>
            <w:pPr>
              <w:spacing w:after="0"/>
              <w:rPr>
                <w:sz w:val="1"/>
                <w:szCs w:val="1"/>
                <w:color w:val="auto"/>
              </w:rPr>
            </w:pPr>
          </w:p>
        </w:tc>
      </w:tr>
      <w:tr>
        <w:trPr>
          <w:trHeight w:val="245"/>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501,019</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Revenues, net by industry verticals, were as follows: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7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7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200,361</w:t>
            </w:r>
          </w:p>
        </w:tc>
        <w:tc>
          <w:tcPr>
            <w:tcW w:w="0" w:type="dxa"/>
            <w:vAlign w:val="bottom"/>
          </w:tcPr>
          <w:p>
            <w:pPr>
              <w:spacing w:after="0"/>
              <w:rPr>
                <w:sz w:val="1"/>
                <w:szCs w:val="1"/>
                <w:color w:val="auto"/>
              </w:rPr>
            </w:pP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125,826</w:t>
            </w:r>
          </w:p>
        </w:tc>
        <w:tc>
          <w:tcPr>
            <w:tcW w:w="0" w:type="dxa"/>
            <w:vAlign w:val="bottom"/>
          </w:tcPr>
          <w:p>
            <w:pPr>
              <w:spacing w:after="0"/>
              <w:rPr>
                <w:sz w:val="1"/>
                <w:szCs w:val="1"/>
                <w:color w:val="auto"/>
              </w:rPr>
            </w:pP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 Capital Markets and Diversified Industries</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174,832</w:t>
            </w:r>
          </w:p>
        </w:tc>
        <w:tc>
          <w:tcPr>
            <w:tcW w:w="0" w:type="dxa"/>
            <w:vAlign w:val="bottom"/>
          </w:tcPr>
          <w:p>
            <w:pPr>
              <w:spacing w:after="0"/>
              <w:rPr>
                <w:sz w:val="1"/>
                <w:szCs w:val="1"/>
                <w:color w:val="auto"/>
              </w:rPr>
            </w:pPr>
          </w:p>
        </w:tc>
      </w:tr>
      <w:tr>
        <w:trPr>
          <w:trHeight w:val="22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501,019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Long-lived assets by geographic area, which consist of property and equipment, net and operating lease ROU assets were as follows:</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0"/>
                <w:szCs w:val="20"/>
                <w:color w:val="auto"/>
              </w:rPr>
            </w:pPr>
          </w:p>
        </w:tc>
      </w:tr>
      <w:tr>
        <w:trPr>
          <w:trHeight w:val="220"/>
        </w:trPr>
        <w:tc>
          <w:tcPr>
            <w:tcW w:w="7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9"/>
                <w:szCs w:val="19"/>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07"/>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63,999</w:t>
            </w: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w:t>
            </w: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w:t>
            </w:r>
          </w:p>
        </w:tc>
      </w:tr>
      <w:tr>
        <w:trPr>
          <w:trHeight w:val="227"/>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28,543</w:t>
            </w:r>
          </w:p>
        </w:tc>
      </w:tr>
      <w:tr>
        <w:trPr>
          <w:trHeight w:val="245"/>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net and Accounts Receivable, net</w:t>
      </w:r>
    </w:p>
    <w:p>
      <w:pPr>
        <w:spacing w:after="0" w:line="171"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Refer to Note 3 - Segment Information to the unaudited consolidated financial statements for revenues disaggregated by reportable segments, service type, geography and industry verticals.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20" w:type="dxa"/>
            <w:vAlign w:val="bottom"/>
            <w:tcBorders>
              <w:bottom w:val="single" w:sz="8" w:color="auto"/>
            </w:tcBorders>
          </w:tcPr>
          <w:p>
            <w:pPr>
              <w:spacing w:after="0"/>
              <w:rPr>
                <w:sz w:val="20"/>
                <w:szCs w:val="20"/>
                <w:color w:val="auto"/>
              </w:rPr>
            </w:pPr>
          </w:p>
        </w:tc>
      </w:tr>
      <w:tr>
        <w:trPr>
          <w:trHeight w:val="227"/>
        </w:trPr>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0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27"/>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388,563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343,105</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31,901</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7"/>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r>
      <w:tr>
        <w:trPr>
          <w:trHeight w:val="227"/>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w:t>
            </w:r>
          </w:p>
        </w:tc>
      </w:tr>
    </w:tbl>
    <w:p>
      <w:pPr>
        <w:spacing w:after="0" w:line="235" w:lineRule="exact"/>
        <w:rPr>
          <w:sz w:val="20"/>
          <w:szCs w:val="20"/>
          <w:color w:val="auto"/>
        </w:rPr>
      </w:pPr>
    </w:p>
    <w:p>
      <w:pPr>
        <w:jc w:val="both"/>
        <w:ind w:firstLine="401"/>
        <w:spacing w:after="0" w:line="257" w:lineRule="auto"/>
        <w:rPr>
          <w:sz w:val="20"/>
          <w:szCs w:val="20"/>
          <w:color w:val="auto"/>
        </w:rPr>
      </w:pPr>
      <w:r>
        <w:rPr>
          <w:rFonts w:ascii="Times New Roman" w:cs="Times New Roman" w:eastAsia="Times New Roman" w:hAnsi="Times New Roman"/>
          <w:sz w:val="18"/>
          <w:szCs w:val="18"/>
          <w:color w:val="auto"/>
        </w:rPr>
        <w:t>Accounts receivable includes $170,511 and $141,653 as of March 31, 2026 and December 31, 2025, respectively, representing unbilled receivables. The Company has accrued the unbilled receivables for work performed in accordance with the terms of contracts with customers and considers no performance risk associated with its unbilled receivables. Contract assets as of March 31, 2026 and December 31, 2025, include receivables of $21,783 and $24,849, respectively, from payment integrity services. There are no performance risks associated with these contract assets.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significant cumulative catch-up impact or impairment related to contract assets as of March 31, 2026 and December 31, 2025.</w:t>
      </w:r>
    </w:p>
    <w:p>
      <w:pPr>
        <w:spacing w:after="0" w:line="167"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2026 and 2025, which was included in the contract liabilities balance at the beginning of the respective periods:</w:t>
      </w: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r>
      <w:tr>
        <w:trPr>
          <w:trHeight w:val="25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2"/>
                <w:szCs w:val="22"/>
                <w:color w:val="auto"/>
              </w:rPr>
            </w:pP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acquisition and fulfillment costs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details of the Company’s contract acquisition and fulfillment costs:</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Contract Acquisition Costs</w:t>
            </w:r>
          </w:p>
        </w:tc>
        <w:tc>
          <w:tcPr>
            <w:tcW w:w="200" w:type="dxa"/>
            <w:vAlign w:val="bottom"/>
          </w:tcPr>
          <w:p>
            <w:pPr>
              <w:spacing w:after="0"/>
              <w:rPr>
                <w:sz w:val="20"/>
                <w:szCs w:val="20"/>
                <w:color w:val="auto"/>
              </w:rPr>
            </w:pPr>
          </w:p>
        </w:tc>
        <w:tc>
          <w:tcPr>
            <w:tcW w:w="3320" w:type="dxa"/>
            <w:vAlign w:val="bottom"/>
            <w:gridSpan w:val="4"/>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Contract Fulfillment Costs</w:t>
            </w:r>
          </w:p>
        </w:tc>
      </w:tr>
      <w:tr>
        <w:trPr>
          <w:trHeight w:val="220"/>
        </w:trPr>
        <w:tc>
          <w:tcPr>
            <w:tcW w:w="3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0"/>
        </w:trPr>
        <w:tc>
          <w:tcPr>
            <w:tcW w:w="3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36,022</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r>
      <w:tr>
        <w:trPr>
          <w:trHeight w:val="22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4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significant impairment for contract acquisition and contract fulfillment costs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47"/>
        </w:trPr>
        <w:tc>
          <w:tcPr>
            <w:tcW w:w="320" w:type="dxa"/>
            <w:vAlign w:val="bottom"/>
          </w:tcPr>
          <w:p>
            <w:pPr>
              <w:spacing w:after="0"/>
              <w:rPr>
                <w:sz w:val="24"/>
                <w:szCs w:val="24"/>
                <w:color w:val="auto"/>
              </w:rPr>
            </w:pPr>
          </w:p>
        </w:tc>
        <w:tc>
          <w:tcPr>
            <w:tcW w:w="8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net of allowance for expected credit losses: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7"/>
        </w:trPr>
        <w:tc>
          <w:tcPr>
            <w:tcW w:w="3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left="103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60" w:type="dxa"/>
            <w:vAlign w:val="bottom"/>
            <w:tcBorders>
              <w:bottom w:val="single" w:sz="8" w:color="auto"/>
            </w:tcBorders>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151"/>
              <w:spacing w:after="0" w:line="194" w:lineRule="exact"/>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320" w:type="dxa"/>
            <w:vAlign w:val="bottom"/>
          </w:tcPr>
          <w:p>
            <w:pPr>
              <w:spacing w:after="0"/>
              <w:rPr>
                <w:sz w:val="19"/>
                <w:szCs w:val="19"/>
                <w:color w:val="auto"/>
              </w:rPr>
            </w:pPr>
          </w:p>
        </w:tc>
        <w:tc>
          <w:tcPr>
            <w:tcW w:w="7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391,628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345,980</w:t>
            </w:r>
          </w:p>
        </w:tc>
      </w:tr>
      <w:tr>
        <w:trPr>
          <w:trHeight w:val="227"/>
        </w:trPr>
        <w:tc>
          <w:tcPr>
            <w:tcW w:w="320" w:type="dxa"/>
            <w:vAlign w:val="bottom"/>
          </w:tcPr>
          <w:p>
            <w:pPr>
              <w:spacing w:after="0"/>
              <w:rPr>
                <w:sz w:val="19"/>
                <w:szCs w:val="19"/>
                <w:color w:val="auto"/>
              </w:rPr>
            </w:pPr>
          </w:p>
        </w:tc>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259"/>
        </w:trPr>
        <w:tc>
          <w:tcPr>
            <w:tcW w:w="320" w:type="dxa"/>
            <w:vAlign w:val="bottom"/>
          </w:tcPr>
          <w:p>
            <w:pPr>
              <w:spacing w:after="0"/>
              <w:rPr>
                <w:sz w:val="22"/>
                <w:szCs w:val="22"/>
                <w:color w:val="auto"/>
              </w:rPr>
            </w:pPr>
          </w:p>
        </w:tc>
        <w:tc>
          <w:tcPr>
            <w:tcW w:w="698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388,563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343,105</w:t>
            </w:r>
          </w:p>
        </w:tc>
      </w:tr>
      <w:tr>
        <w:trPr>
          <w:trHeight w:val="415"/>
        </w:trPr>
        <w:tc>
          <w:tcPr>
            <w:tcW w:w="320" w:type="dxa"/>
            <w:vAlign w:val="bottom"/>
          </w:tcPr>
          <w:p>
            <w:pPr>
              <w:spacing w:after="0"/>
              <w:rPr>
                <w:sz w:val="24"/>
                <w:szCs w:val="24"/>
                <w:color w:val="auto"/>
              </w:rPr>
            </w:pPr>
          </w:p>
        </w:tc>
        <w:tc>
          <w:tcPr>
            <w:tcW w:w="698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The movement in “Allowance for expected credit losses” was as follows:</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94"/>
        </w:trPr>
        <w:tc>
          <w:tcPr>
            <w:tcW w:w="320" w:type="dxa"/>
            <w:vAlign w:val="bottom"/>
          </w:tcPr>
          <w:p>
            <w:pPr>
              <w:spacing w:after="0"/>
              <w:rPr>
                <w:sz w:val="16"/>
                <w:szCs w:val="16"/>
                <w:color w:val="auto"/>
              </w:rPr>
            </w:pPr>
          </w:p>
        </w:tc>
        <w:tc>
          <w:tcPr>
            <w:tcW w:w="6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71"/>
              <w:spacing w:after="0" w:line="194"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320" w:type="dxa"/>
            <w:vAlign w:val="bottom"/>
          </w:tcPr>
          <w:p>
            <w:pPr>
              <w:spacing w:after="0"/>
              <w:rPr>
                <w:sz w:val="19"/>
                <w:szCs w:val="19"/>
                <w:color w:val="auto"/>
              </w:rPr>
            </w:pP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r>
      <w:tr>
        <w:trPr>
          <w:trHeight w:val="227"/>
        </w:trPr>
        <w:tc>
          <w:tcPr>
            <w:tcW w:w="320" w:type="dxa"/>
            <w:vAlign w:val="bottom"/>
          </w:tcPr>
          <w:p>
            <w:pPr>
              <w:spacing w:after="0"/>
              <w:rPr>
                <w:sz w:val="19"/>
                <w:szCs w:val="19"/>
                <w:color w:val="auto"/>
              </w:rPr>
            </w:pPr>
          </w:p>
        </w:tc>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27"/>
        </w:trPr>
        <w:tc>
          <w:tcPr>
            <w:tcW w:w="320" w:type="dxa"/>
            <w:vAlign w:val="bottom"/>
          </w:tcPr>
          <w:p>
            <w:pPr>
              <w:spacing w:after="0"/>
              <w:rPr>
                <w:sz w:val="19"/>
                <w:szCs w:val="19"/>
                <w:color w:val="auto"/>
              </w:rPr>
            </w:pP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write-off of accounts receivable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320" w:type="dxa"/>
            <w:vAlign w:val="bottom"/>
          </w:tcPr>
          <w:p>
            <w:pPr>
              <w:spacing w:after="0"/>
              <w:rPr>
                <w:sz w:val="19"/>
                <w:szCs w:val="19"/>
                <w:color w:val="auto"/>
              </w:rPr>
            </w:pPr>
          </w:p>
        </w:tc>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320" w:type="dxa"/>
            <w:vAlign w:val="bottom"/>
          </w:tcPr>
          <w:p>
            <w:pPr>
              <w:spacing w:after="0"/>
              <w:rPr>
                <w:sz w:val="20"/>
                <w:szCs w:val="20"/>
                <w:color w:val="auto"/>
              </w:rPr>
            </w:pPr>
          </w:p>
        </w:tc>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0"/>
        </w:trPr>
        <w:tc>
          <w:tcPr>
            <w:tcW w:w="32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and credit risk concentration</w:t>
      </w:r>
    </w:p>
    <w:p>
      <w:pPr>
        <w:spacing w:after="0" w:line="158" w:lineRule="exact"/>
        <w:rPr>
          <w:sz w:val="20"/>
          <w:szCs w:val="20"/>
          <w:color w:val="auto"/>
        </w:rPr>
      </w:pPr>
    </w:p>
    <w:p>
      <w:pPr>
        <w:ind w:firstLine="401"/>
        <w:spacing w:after="0" w:line="262" w:lineRule="auto"/>
        <w:rPr>
          <w:sz w:val="20"/>
          <w:szCs w:val="20"/>
          <w:color w:val="auto"/>
        </w:rPr>
      </w:pPr>
      <w:r>
        <w:rPr>
          <w:rFonts w:ascii="Times New Roman" w:cs="Times New Roman" w:eastAsia="Times New Roman" w:hAnsi="Times New Roman"/>
          <w:sz w:val="18"/>
          <w:szCs w:val="18"/>
          <w:color w:val="auto"/>
        </w:rPr>
        <w:t>No single customer accounted for more than 10% of the Company's revenues, net during the three months ended March 31, 2026 and 2025. The Company’s management believes that the loss of any of its top ten clients could have a material adverse effect on its financial performance.</w:t>
      </w:r>
    </w:p>
    <w:p>
      <w:pPr>
        <w:spacing w:after="0" w:line="16" w:lineRule="exact"/>
        <w:rPr>
          <w:sz w:val="20"/>
          <w:szCs w:val="20"/>
          <w:color w:val="auto"/>
        </w:rPr>
      </w:pPr>
    </w:p>
    <w:p>
      <w:pPr>
        <w:ind w:firstLine="401"/>
        <w:spacing w:after="0" w:line="262" w:lineRule="auto"/>
        <w:rPr>
          <w:sz w:val="20"/>
          <w:szCs w:val="20"/>
          <w:color w:val="auto"/>
        </w:rPr>
      </w:pPr>
      <w:r>
        <w:rPr>
          <w:rFonts w:ascii="Times New Roman" w:cs="Times New Roman" w:eastAsia="Times New Roman" w:hAnsi="Times New Roman"/>
          <w:sz w:val="18"/>
          <w:szCs w:val="18"/>
          <w:color w:val="auto"/>
        </w:rPr>
        <w:t>To reduce credit risk, the Company conducts ongoing credit evaluations of its customers. No customer accounted for more than 10% of accounts receivable, net, as of March 31, 2026 and December 31,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1"/>
        </w:trPr>
        <w:tc>
          <w:tcPr>
            <w:tcW w:w="320" w:type="dxa"/>
            <w:vAlign w:val="bottom"/>
          </w:tcPr>
          <w:p>
            <w:pPr>
              <w:spacing w:after="0"/>
              <w:rPr>
                <w:sz w:val="24"/>
                <w:szCs w:val="24"/>
                <w:color w:val="auto"/>
              </w:rPr>
            </w:pPr>
          </w:p>
        </w:tc>
        <w:tc>
          <w:tcPr>
            <w:tcW w:w="7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80"/>
        </w:trPr>
        <w:tc>
          <w:tcPr>
            <w:tcW w:w="3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320" w:type="dxa"/>
            <w:vAlign w:val="bottom"/>
          </w:tcPr>
          <w:p>
            <w:pPr>
              <w:spacing w:after="0"/>
              <w:rPr>
                <w:sz w:val="19"/>
                <w:szCs w:val="19"/>
                <w:color w:val="auto"/>
              </w:rPr>
            </w:pPr>
          </w:p>
        </w:tc>
        <w:tc>
          <w:tcPr>
            <w:tcW w:w="7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320" w:type="dxa"/>
            <w:vAlign w:val="bottom"/>
          </w:tcPr>
          <w:p>
            <w:pPr>
              <w:spacing w:after="0"/>
              <w:rPr>
                <w:sz w:val="18"/>
                <w:szCs w:val="18"/>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7"/>
        </w:trPr>
        <w:tc>
          <w:tcPr>
            <w:tcW w:w="3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67,081</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66,561</w:t>
            </w: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7"/>
        </w:trPr>
        <w:tc>
          <w:tcPr>
            <w:tcW w:w="3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156,049,147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162,490,179</w:t>
            </w: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2,067,154</w:t>
            </w:r>
          </w:p>
        </w:tc>
      </w:tr>
      <w:tr>
        <w:trPr>
          <w:trHeight w:val="220"/>
        </w:trPr>
        <w:tc>
          <w:tcPr>
            <w:tcW w:w="3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156,904,203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164,557,333</w:t>
            </w:r>
          </w:p>
        </w:tc>
      </w:tr>
      <w:tr>
        <w:trPr>
          <w:trHeight w:val="20"/>
        </w:trPr>
        <w:tc>
          <w:tcPr>
            <w:tcW w:w="320" w:type="dxa"/>
            <w:vAlign w:val="bottom"/>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71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27"/>
        </w:trPr>
        <w:tc>
          <w:tcPr>
            <w:tcW w:w="3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174"/>
        </w:trPr>
        <w:tc>
          <w:tcPr>
            <w:tcW w:w="320" w:type="dxa"/>
            <w:vAlign w:val="bottom"/>
          </w:tcPr>
          <w:p>
            <w:pPr>
              <w:spacing w:after="0"/>
              <w:rPr>
                <w:sz w:val="15"/>
                <w:szCs w:val="15"/>
                <w:color w:val="auto"/>
              </w:rPr>
            </w:pPr>
          </w:p>
        </w:tc>
        <w:tc>
          <w:tcPr>
            <w:tcW w:w="71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Weighted average potentially dilutive shares considered anti-dilutive and not included in</w:t>
            </w: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1"/>
        </w:trPr>
        <w:tc>
          <w:tcPr>
            <w:tcW w:w="32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diluted earnings per share</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1,616,245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318,740</w:t>
            </w:r>
          </w:p>
        </w:tc>
      </w:tr>
    </w:tbl>
    <w:p>
      <w:pPr>
        <w:spacing w:after="0" w:line="302" w:lineRule="exact"/>
        <w:rPr>
          <w:sz w:val="20"/>
          <w:szCs w:val="20"/>
          <w:color w:val="auto"/>
        </w:rPr>
      </w:pPr>
    </w:p>
    <w:p>
      <w:pPr>
        <w:ind w:firstLine="401"/>
        <w:spacing w:after="0" w:line="246" w:lineRule="auto"/>
        <w:rPr>
          <w:sz w:val="20"/>
          <w:szCs w:val="20"/>
          <w:color w:val="auto"/>
        </w:rPr>
      </w:pPr>
      <w:r>
        <w:rPr>
          <w:rFonts w:ascii="Times New Roman" w:cs="Times New Roman" w:eastAsia="Times New Roman" w:hAnsi="Times New Roman"/>
          <w:sz w:val="18"/>
          <w:szCs w:val="18"/>
          <w:color w:val="auto"/>
        </w:rPr>
        <w:t>On March 16, 2026, the Company entered into a fixed dollar accelerated share repurchase transaction pursuant to a confirmation (“2026 ASR Agreement”) with Morgan Stanley &amp; Co. LLC (“Morgan Stanley”). During the three months ended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March 31, 2026, the Company recorded the initial delivery of shares in treasury stock at cost, which resulted in an immediate reduction of its outstanding shares used to calculate the weighted average common shares outstanding for basic and diluted earnings per share. The forward contracts indexed to the Company's own common stock met the criteria for equity classification, and prepayment of $25,000 was initially recorded in additional paid-in capital, which reflects the pending settlement of the 2026 ASR Agreement.</w:t>
      </w:r>
    </w:p>
    <w:p>
      <w:pPr>
        <w:spacing w:after="0" w:line="198" w:lineRule="exact"/>
        <w:rPr>
          <w:sz w:val="20"/>
          <w:szCs w:val="20"/>
          <w:color w:val="auto"/>
        </w:rPr>
      </w:pPr>
    </w:p>
    <w:p>
      <w:pPr>
        <w:jc w:val="both"/>
        <w:ind w:firstLine="401"/>
        <w:spacing w:after="0" w:line="239" w:lineRule="auto"/>
        <w:rPr>
          <w:sz w:val="20"/>
          <w:szCs w:val="20"/>
          <w:color w:val="auto"/>
        </w:rPr>
      </w:pPr>
      <w:r>
        <w:rPr>
          <w:rFonts w:ascii="Times New Roman" w:cs="Times New Roman" w:eastAsia="Times New Roman" w:hAnsi="Times New Roman"/>
          <w:sz w:val="18"/>
          <w:szCs w:val="18"/>
          <w:color w:val="auto"/>
        </w:rPr>
        <w:t>Had the 2026 ASR Agreement been settled as of March 31, 2026, determined based on the volume-weighted average price per share since its effective date, Morgan Stanley would have been required to deliver additional estimated shares to the Company. The effect of the potential share settlement under the 2026 ASR Agreement was excluded from the computation of diluted earnings per share as its inclusion would have been anti-dilutive.</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19 - Capital Structure to the unaudited consolidated financial statements for further details.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Other Income, net</w:t>
            </w: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4"/>
        </w:trPr>
        <w:tc>
          <w:tcPr>
            <w:tcW w:w="320" w:type="dxa"/>
            <w:vAlign w:val="bottom"/>
          </w:tcPr>
          <w:p>
            <w:pPr>
              <w:spacing w:after="0"/>
              <w:rPr>
                <w:sz w:val="24"/>
                <w:szCs w:val="24"/>
                <w:color w:val="auto"/>
              </w:rPr>
            </w:pPr>
          </w:p>
        </w:tc>
        <w:tc>
          <w:tcPr>
            <w:tcW w:w="7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0"/>
        </w:trPr>
        <w:tc>
          <w:tcPr>
            <w:tcW w:w="3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r>
      <w:tr>
        <w:trPr>
          <w:trHeight w:val="220"/>
        </w:trPr>
        <w:tc>
          <w:tcPr>
            <w:tcW w:w="320" w:type="dxa"/>
            <w:vAlign w:val="bottom"/>
          </w:tcPr>
          <w:p>
            <w:pPr>
              <w:spacing w:after="0"/>
              <w:rPr>
                <w:sz w:val="19"/>
                <w:szCs w:val="19"/>
                <w:color w:val="auto"/>
              </w:rPr>
            </w:pPr>
          </w:p>
        </w:tc>
        <w:tc>
          <w:tcPr>
            <w:tcW w:w="7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27"/>
        </w:trPr>
        <w:tc>
          <w:tcPr>
            <w:tcW w:w="3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0"/>
        </w:trPr>
        <w:tc>
          <w:tcPr>
            <w:tcW w:w="3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0"/>
        </w:trPr>
        <w:tc>
          <w:tcPr>
            <w:tcW w:w="3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660" w:hanging="252"/>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w:t>
      </w:r>
    </w:p>
    <w:p>
      <w:pPr>
        <w:spacing w:after="0" w:line="229"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purposes of unaudited consolidated statements of cash flows, cash, cash equivalents and restricted cash consist of the following:</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0"/>
        </w:trPr>
        <w:tc>
          <w:tcPr>
            <w:tcW w:w="5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9"/>
                <w:szCs w:val="19"/>
                <w:color w:val="auto"/>
              </w:rPr>
            </w:pPr>
          </w:p>
        </w:tc>
        <w:tc>
          <w:tcPr>
            <w:tcW w:w="17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146,326</w:t>
            </w:r>
          </w:p>
        </w:tc>
      </w:tr>
      <w:tr>
        <w:trPr>
          <w:trHeight w:val="227"/>
        </w:trPr>
        <w:tc>
          <w:tcPr>
            <w:tcW w:w="53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Restricted cash (current)</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27"/>
        </w:trPr>
        <w:tc>
          <w:tcPr>
            <w:tcW w:w="53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Restricted cash (non-current)</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165,969</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408"/>
        <w:spacing w:after="0" w:line="262"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(current) primarily represents funds held on behalf of customers in dedicated bank accounts. The corresponding liability against the same is included under “Accrued expenses and other current liabilities.” Restricted cash also includes funds held as collateral in a dedicated bank account for irrevocable letters of credit issued in favor of third parties for facility leases.</w:t>
      </w:r>
    </w:p>
    <w:p>
      <w:pPr>
        <w:spacing w:after="0" w:line="203" w:lineRule="exact"/>
        <w:rPr>
          <w:rFonts w:ascii="Times New Roman" w:cs="Times New Roman" w:eastAsia="Times New Roman" w:hAnsi="Times New Roman"/>
          <w:sz w:val="18"/>
          <w:szCs w:val="18"/>
          <w:color w:val="auto"/>
        </w:rPr>
      </w:pPr>
    </w:p>
    <w:p>
      <w:pPr>
        <w:jc w:val="both"/>
        <w:ind w:firstLine="408"/>
        <w:spacing w:after="0" w:line="262" w:lineRule="auto"/>
        <w:tabs>
          <w:tab w:leader="none" w:pos="6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(non-current) represents deposits with banks against bank guarantees issued through banks in favor of relevant statutory authorities for equipment imports, deposits for obtaining indirect tax registrations and for demands against pending income tax and value added tax (“VAT”) assessments. Due to the associated restrictions, these deposits with banks are anticipated to mature one year after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Investments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320" w:type="dxa"/>
            <w:vAlign w:val="bottom"/>
          </w:tcPr>
          <w:p>
            <w:pPr>
              <w:spacing w:after="0"/>
              <w:rPr>
                <w:sz w:val="24"/>
                <w:szCs w:val="24"/>
                <w:color w:val="auto"/>
              </w:rPr>
            </w:pPr>
          </w:p>
        </w:tc>
        <w:tc>
          <w:tcPr>
            <w:tcW w:w="7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 consist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71,463</w:t>
            </w: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129,549</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 deposits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52,492</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108,358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182,041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320" w:type="dxa"/>
            <w:vAlign w:val="bottom"/>
          </w:tcPr>
          <w:p>
            <w:pPr>
              <w:spacing w:after="0"/>
              <w:rPr>
                <w:sz w:val="24"/>
                <w:szCs w:val="24"/>
                <w:color w:val="auto"/>
              </w:rPr>
            </w:pPr>
          </w:p>
        </w:tc>
        <w:tc>
          <w:tcPr>
            <w:tcW w:w="7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 deposits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4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8,198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4"/>
        </w:trPr>
        <w:tc>
          <w:tcPr>
            <w:tcW w:w="320" w:type="dxa"/>
            <w:vAlign w:val="bottom"/>
          </w:tcPr>
          <w:p>
            <w:pPr>
              <w:spacing w:after="0"/>
              <w:rPr>
                <w:sz w:val="24"/>
                <w:szCs w:val="24"/>
                <w:color w:val="auto"/>
              </w:rPr>
            </w:pPr>
          </w:p>
        </w:tc>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tcBorders>
              <w:bottom w:val="single" w:sz="8" w:color="auto"/>
            </w:tcBorders>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19"/>
                <w:szCs w:val="19"/>
                <w:color w:val="auto"/>
              </w:rPr>
            </w:pP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20"/>
        </w:trPr>
        <w:tc>
          <w:tcPr>
            <w:tcW w:w="320" w:type="dxa"/>
            <w:vAlign w:val="bottom"/>
          </w:tcPr>
          <w:p>
            <w:pPr>
              <w:spacing w:after="0"/>
              <w:rPr>
                <w:sz w:val="19"/>
                <w:szCs w:val="19"/>
                <w:color w:val="auto"/>
              </w:rPr>
            </w:pPr>
          </w:p>
        </w:tc>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center"/>
              <w:ind w:left="791"/>
              <w:spacing w:after="0"/>
              <w:rPr>
                <w:sz w:val="20"/>
                <w:szCs w:val="20"/>
                <w:color w:val="auto"/>
              </w:rPr>
            </w:pPr>
            <w:r>
              <w:rPr>
                <w:rFonts w:ascii="Times New Roman" w:cs="Times New Roman" w:eastAsia="Times New Roman" w:hAnsi="Times New Roman"/>
                <w:sz w:val="18"/>
                <w:szCs w:val="18"/>
                <w:color w:val="auto"/>
                <w:w w:val="99"/>
              </w:rPr>
              <w:t>367,561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367,558</w:t>
            </w:r>
          </w:p>
        </w:tc>
      </w:tr>
      <w:tr>
        <w:trPr>
          <w:trHeight w:val="227"/>
        </w:trPr>
        <w:tc>
          <w:tcPr>
            <w:tcW w:w="320" w:type="dxa"/>
            <w:vAlign w:val="bottom"/>
          </w:tcPr>
          <w:p>
            <w:pPr>
              <w:spacing w:after="0"/>
              <w:rPr>
                <w:sz w:val="19"/>
                <w:szCs w:val="19"/>
                <w:color w:val="auto"/>
              </w:rPr>
            </w:pPr>
          </w:p>
        </w:tc>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751"/>
              <w:spacing w:after="0"/>
              <w:rPr>
                <w:sz w:val="20"/>
                <w:szCs w:val="20"/>
                <w:color w:val="auto"/>
              </w:rPr>
            </w:pPr>
            <w:r>
              <w:rPr>
                <w:rFonts w:ascii="Times New Roman" w:cs="Times New Roman" w:eastAsia="Times New Roman" w:hAnsi="Times New Roman"/>
                <w:sz w:val="18"/>
                <w:szCs w:val="18"/>
                <w:color w:val="auto"/>
                <w:w w:val="99"/>
              </w:rPr>
              <w:t>(258,173)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(255,737)</w:t>
            </w:r>
          </w:p>
        </w:tc>
      </w:tr>
      <w:tr>
        <w:trPr>
          <w:trHeight w:val="245"/>
        </w:trPr>
        <w:tc>
          <w:tcPr>
            <w:tcW w:w="320" w:type="dxa"/>
            <w:vAlign w:val="bottom"/>
          </w:tcPr>
          <w:p>
            <w:pPr>
              <w:spacing w:after="0"/>
              <w:rPr>
                <w:sz w:val="20"/>
                <w:szCs w:val="20"/>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center"/>
              <w:ind w:left="791"/>
              <w:spacing w:after="0"/>
              <w:rPr>
                <w:sz w:val="20"/>
                <w:szCs w:val="20"/>
                <w:color w:val="auto"/>
              </w:rPr>
            </w:pPr>
            <w:r>
              <w:rPr>
                <w:rFonts w:ascii="Times New Roman" w:cs="Times New Roman" w:eastAsia="Times New Roman" w:hAnsi="Times New Roman"/>
                <w:sz w:val="18"/>
                <w:szCs w:val="18"/>
                <w:color w:val="auto"/>
                <w:w w:val="99"/>
              </w:rPr>
              <w:t>109,388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111,821</w:t>
            </w:r>
          </w:p>
        </w:tc>
      </w:tr>
      <w:tr>
        <w:trPr>
          <w:trHeight w:val="20"/>
        </w:trPr>
        <w:tc>
          <w:tcPr>
            <w:tcW w:w="3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0" w:firstLine="401"/>
        <w:spacing w:after="0" w:line="277"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in estimated useful lives of property and equipment during the ordinary course of operations.</w:t>
      </w:r>
    </w:p>
    <w:p>
      <w:pPr>
        <w:spacing w:after="0" w:line="110" w:lineRule="exact"/>
        <w:rPr>
          <w:sz w:val="20"/>
          <w:szCs w:val="20"/>
          <w:color w:val="auto"/>
        </w:rPr>
      </w:pPr>
    </w:p>
    <w:p>
      <w:pPr>
        <w:ind w:right="40" w:firstLine="401"/>
        <w:spacing w:after="0" w:line="277"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unaudited consolidated statements of income was as follows:</w:t>
      </w: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94"/>
        </w:trPr>
        <w:tc>
          <w:tcPr>
            <w:tcW w:w="7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71"/>
              <w:spacing w:after="0" w:line="194" w:lineRule="exact"/>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31"/>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96"/>
              </w:rPr>
              <w:t>10,311</w:t>
            </w:r>
          </w:p>
        </w:tc>
      </w:tr>
      <w:tr>
        <w:trPr>
          <w:trHeight w:val="468"/>
        </w:trPr>
        <w:tc>
          <w:tcPr>
            <w:tcW w:w="7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Internally developed software costs included in property and equipment were as follows: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14"/>
        </w:trPr>
        <w:tc>
          <w:tcPr>
            <w:tcW w:w="7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r>
      <w:tr>
        <w:trPr>
          <w:trHeight w:val="220"/>
        </w:trPr>
        <w:tc>
          <w:tcPr>
            <w:tcW w:w="7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r>
      <w:tr>
        <w:trPr>
          <w:trHeight w:val="220"/>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59,390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96"/>
              </w:rPr>
              <w:t>59,391</w:t>
            </w:r>
          </w:p>
        </w:tc>
      </w:tr>
      <w:tr>
        <w:trPr>
          <w:trHeight w:val="227"/>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791"/>
              <w:spacing w:after="0"/>
              <w:rPr>
                <w:sz w:val="20"/>
                <w:szCs w:val="20"/>
                <w:color w:val="auto"/>
              </w:rPr>
            </w:pPr>
            <w:r>
              <w:rPr>
                <w:rFonts w:ascii="Times New Roman" w:cs="Times New Roman" w:eastAsia="Times New Roman" w:hAnsi="Times New Roman"/>
                <w:sz w:val="18"/>
                <w:szCs w:val="18"/>
                <w:color w:val="auto"/>
                <w:w w:val="97"/>
              </w:rPr>
              <w:t>(41,755)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rPr>
              <w:t>(39,332)</w:t>
            </w:r>
          </w:p>
        </w:tc>
      </w:tr>
      <w:tr>
        <w:trPr>
          <w:trHeight w:val="245"/>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17,635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96"/>
              </w:rPr>
              <w:t>20,059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1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unaudited consolidated statements of income was as follows:</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r>
    </w:tbl>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there were no indicators of impairment related to capitalized software.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Healthcare and Life</w:t>
            </w:r>
          </w:p>
        </w:tc>
        <w:tc>
          <w:tcPr>
            <w:tcW w:w="20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Banking, Capital</w:t>
            </w:r>
          </w:p>
        </w:tc>
        <w:tc>
          <w:tcPr>
            <w:tcW w:w="1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gridSpan w:val="2"/>
            <w:vMerge w:val="restart"/>
          </w:tcPr>
          <w:p>
            <w:pPr>
              <w:ind w:left="100"/>
              <w:spacing w:after="0" w:line="13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720" w:type="dxa"/>
            <w:vAlign w:val="bottom"/>
            <w:gridSpan w:val="3"/>
            <w:vMerge w:val="restart"/>
          </w:tcPr>
          <w:p>
            <w:pPr>
              <w:jc w:val="center"/>
              <w:ind w:right="80"/>
              <w:spacing w:after="0" w:line="136" w:lineRule="exact"/>
              <w:rPr>
                <w:sz w:val="20"/>
                <w:szCs w:val="20"/>
                <w:color w:val="auto"/>
              </w:rPr>
            </w:pPr>
            <w:r>
              <w:rPr>
                <w:rFonts w:ascii="Times New Roman" w:cs="Times New Roman" w:eastAsia="Times New Roman" w:hAnsi="Times New Roman"/>
                <w:sz w:val="14"/>
                <w:szCs w:val="14"/>
                <w:b w:val="1"/>
                <w:bCs w:val="1"/>
                <w:color w:val="auto"/>
              </w:rPr>
              <w:t>Markets and Diversified</w:t>
            </w: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restart"/>
          </w:tcPr>
          <w:p>
            <w:pPr>
              <w:jc w:val="right"/>
              <w:ind w:right="375"/>
              <w:spacing w:after="0" w:line="13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9"/>
        </w:trPr>
        <w:tc>
          <w:tcPr>
            <w:tcW w:w="3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720" w:type="dxa"/>
            <w:vAlign w:val="bottom"/>
            <w:gridSpan w:val="3"/>
            <w:vMerge w:val="continue"/>
          </w:tcPr>
          <w:p>
            <w:pPr>
              <w:spacing w:after="0"/>
              <w:rPr>
                <w:sz w:val="5"/>
                <w:szCs w:val="5"/>
                <w:color w:val="auto"/>
              </w:rPr>
            </w:pPr>
          </w:p>
        </w:tc>
        <w:tc>
          <w:tcPr>
            <w:tcW w:w="13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Growth Markets</w:t>
            </w: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Industries</w:t>
            </w: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419,654</w:t>
            </w:r>
          </w:p>
        </w:tc>
        <w:tc>
          <w:tcPr>
            <w:tcW w:w="0" w:type="dxa"/>
            <w:vAlign w:val="bottom"/>
          </w:tcPr>
          <w:p>
            <w:pPr>
              <w:spacing w:after="0"/>
              <w:rPr>
                <w:sz w:val="1"/>
                <w:szCs w:val="1"/>
                <w:color w:val="auto"/>
              </w:rPr>
            </w:pPr>
          </w:p>
        </w:tc>
      </w:tr>
      <w:tr>
        <w:trPr>
          <w:trHeight w:val="227"/>
        </w:trPr>
        <w:tc>
          <w:tcPr>
            <w:tcW w:w="3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4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418,659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performed an assessment to determine whether events or circumstances exist that may lead to a determination that it is more likely than not that the fair value of a reporting unit is less than its carrying amount. Based on such assessment, the Company concluded that there was no impairment on goodwill as of March 31, 2026 and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2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86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980" w:type="dxa"/>
            <w:vAlign w:val="bottom"/>
          </w:tcPr>
          <w:p>
            <w:pPr>
              <w:jc w:val="center"/>
              <w:ind w:right="134"/>
              <w:spacing w:after="0" w:line="154"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980" w:type="dxa"/>
            <w:vAlign w:val="bottom"/>
          </w:tcPr>
          <w:p>
            <w:pPr>
              <w:jc w:val="center"/>
              <w:ind w:right="174"/>
              <w:spacing w:after="0" w:line="154"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2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0" w:type="dxa"/>
            <w:vAlign w:val="bottom"/>
          </w:tcPr>
          <w:p>
            <w:pPr>
              <w:spacing w:after="0"/>
              <w:rPr>
                <w:sz w:val="1"/>
                <w:szCs w:val="1"/>
                <w:color w:val="auto"/>
              </w:rPr>
            </w:pPr>
          </w:p>
        </w:tc>
      </w:tr>
      <w:tr>
        <w:trPr>
          <w:trHeight w:val="212"/>
        </w:trPr>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98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09"/>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31,906</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(73,482)</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0" w:type="dxa"/>
            <w:vAlign w:val="bottom"/>
          </w:tcPr>
          <w:p>
            <w:pPr>
              <w:spacing w:after="0"/>
              <w:rPr>
                <w:sz w:val="1"/>
                <w:szCs w:val="1"/>
                <w:color w:val="auto"/>
              </w:rPr>
            </w:pPr>
          </w:p>
        </w:tc>
      </w:tr>
      <w:tr>
        <w:trPr>
          <w:trHeight w:val="22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(78,882)</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0" w:type="dxa"/>
            <w:vAlign w:val="bottom"/>
          </w:tcPr>
          <w:p>
            <w:pPr>
              <w:spacing w:after="0"/>
              <w:rPr>
                <w:sz w:val="1"/>
                <w:szCs w:val="1"/>
                <w:color w:val="auto"/>
              </w:rPr>
            </w:pPr>
          </w:p>
        </w:tc>
      </w:tr>
      <w:tr>
        <w:trPr>
          <w:trHeight w:val="22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5"/>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amortization expense recognized in the unaudited consolidated statements of income was as follows:</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94"/>
        </w:trPr>
        <w:tc>
          <w:tcPr>
            <w:tcW w:w="7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1"/>
              <w:spacing w:after="0" w:line="194"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1"/>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there were no indicators of impairment related to intangible assets.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88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as of March 31, 2026 was as follows: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(April 1 - December 31)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7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20" w:type="dxa"/>
            <w:vAlign w:val="bottom"/>
          </w:tcPr>
          <w:p>
            <w:pPr>
              <w:spacing w:after="0"/>
              <w:rPr>
                <w:sz w:val="24"/>
                <w:szCs w:val="2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left="139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26,465</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income tax, net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51,984</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146,093</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Other Assets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20" w:type="dxa"/>
            <w:vAlign w:val="bottom"/>
          </w:tcPr>
          <w:p>
            <w:pPr>
              <w:spacing w:after="0"/>
              <w:rPr>
                <w:sz w:val="24"/>
                <w:szCs w:val="2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left="141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32,146</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59,915</w:t>
            </w:r>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320" w:type="dxa"/>
            <w:vAlign w:val="bottom"/>
          </w:tcPr>
          <w:p>
            <w:pPr>
              <w:spacing w:after="0"/>
              <w:rPr>
                <w:sz w:val="24"/>
                <w:szCs w:val="2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top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64,220</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statutory authorities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27,222</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7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20" w:type="dxa"/>
            <w:vAlign w:val="bottom"/>
          </w:tcPr>
          <w:p>
            <w:pPr>
              <w:spacing w:after="0"/>
              <w:rPr>
                <w:sz w:val="24"/>
                <w:szCs w:val="2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41,632</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81,401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Income/(Loss)</w:t>
      </w:r>
    </w:p>
    <w:p>
      <w:pPr>
        <w:spacing w:after="0" w:line="211" w:lineRule="exact"/>
        <w:rPr>
          <w:sz w:val="20"/>
          <w:szCs w:val="20"/>
          <w:color w:val="auto"/>
        </w:rPr>
      </w:pPr>
    </w:p>
    <w:p>
      <w:pPr>
        <w:ind w:right="100" w:firstLine="401"/>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changes in Accumulated other comprehensive income/(loss) (“AOCI”) during the three months ended March 31, 2026 and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9"/>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40" w:type="dxa"/>
            <w:vAlign w:val="bottom"/>
            <w:gridSpan w:val="3"/>
          </w:tcPr>
          <w:p>
            <w:pPr>
              <w:jc w:val="center"/>
              <w:ind w:right="100"/>
              <w:spacing w:after="0" w:line="167" w:lineRule="exact"/>
              <w:rPr>
                <w:sz w:val="20"/>
                <w:szCs w:val="20"/>
                <w:color w:val="auto"/>
              </w:rPr>
            </w:pPr>
            <w:r>
              <w:rPr>
                <w:rFonts w:ascii="Times New Roman" w:cs="Times New Roman" w:eastAsia="Times New Roman" w:hAnsi="Times New Roman"/>
                <w:sz w:val="18"/>
                <w:szCs w:val="18"/>
                <w:b w:val="1"/>
                <w:bCs w:val="1"/>
                <w:color w:val="auto"/>
                <w:w w:val="99"/>
              </w:rPr>
              <w:t>Currency translation</w:t>
            </w:r>
          </w:p>
        </w:tc>
        <w:tc>
          <w:tcPr>
            <w:tcW w:w="1820" w:type="dxa"/>
            <w:vAlign w:val="bottom"/>
            <w:gridSpan w:val="3"/>
          </w:tcPr>
          <w:p>
            <w:pPr>
              <w:ind w:left="40"/>
              <w:spacing w:after="0" w:line="167" w:lineRule="exact"/>
              <w:rPr>
                <w:sz w:val="20"/>
                <w:szCs w:val="20"/>
                <w:color w:val="auto"/>
              </w:rPr>
            </w:pPr>
            <w:r>
              <w:rPr>
                <w:rFonts w:ascii="Times New Roman" w:cs="Times New Roman" w:eastAsia="Times New Roman" w:hAnsi="Times New Roman"/>
                <w:sz w:val="18"/>
                <w:szCs w:val="18"/>
                <w:b w:val="1"/>
                <w:bCs w:val="1"/>
                <w:color w:val="auto"/>
              </w:rPr>
              <w:t>Unrealized gain/(loss)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7" w:lineRule="exact"/>
              <w:rPr>
                <w:sz w:val="20"/>
                <w:szCs w:val="20"/>
                <w:color w:val="auto"/>
              </w:rPr>
            </w:pPr>
            <w:r>
              <w:rPr>
                <w:rFonts w:ascii="Times New Roman" w:cs="Times New Roman" w:eastAsia="Times New Roman" w:hAnsi="Times New Roman"/>
                <w:sz w:val="18"/>
                <w:szCs w:val="18"/>
                <w:b w:val="1"/>
                <w:bCs w:val="1"/>
                <w:color w:val="auto"/>
                <w:w w:val="98"/>
              </w:rPr>
              <w:t>Retirement</w:t>
            </w:r>
          </w:p>
        </w:tc>
        <w:tc>
          <w:tcPr>
            <w:tcW w:w="340" w:type="dxa"/>
            <w:vAlign w:val="bottom"/>
          </w:tcPr>
          <w:p>
            <w:pPr>
              <w:spacing w:after="0"/>
              <w:rPr>
                <w:sz w:val="14"/>
                <w:szCs w:val="14"/>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12"/>
                <w:szCs w:val="12"/>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on cash flow hedges</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(180,727)</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recognized during the period</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(70,916)</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3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Reclassification to net income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300" w:type="dxa"/>
            <w:vAlign w:val="bottom"/>
            <w:tcBorders>
              <w:bottom w:val="single" w:sz="8" w:color="CCEEFF"/>
            </w:tcBorders>
          </w:tcPr>
          <w:p>
            <w:pPr>
              <w:ind w:left="20"/>
              <w:spacing w:after="0" w:line="228" w:lineRule="exact"/>
              <w:rPr>
                <w:sz w:val="20"/>
                <w:szCs w:val="20"/>
                <w:color w:val="auto"/>
              </w:rPr>
            </w:pPr>
            <w:r>
              <w:rPr>
                <w:rFonts w:ascii="Times New Roman" w:cs="Times New Roman" w:eastAsia="Times New Roman" w:hAnsi="Times New Roman"/>
                <w:sz w:val="18"/>
                <w:szCs w:val="18"/>
                <w:color w:val="auto"/>
              </w:rPr>
              <w:t>Income tax effects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(180,352)</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(47,659)</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(154,722)</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during the period</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13,396</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3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Reclassification to net income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300" w:type="dxa"/>
            <w:vAlign w:val="bottom"/>
            <w:tcBorders>
              <w:bottom w:val="single" w:sz="8" w:color="CCEEFF"/>
            </w:tcBorders>
          </w:tcPr>
          <w:p>
            <w:pPr>
              <w:ind w:left="20"/>
              <w:spacing w:after="0" w:line="228" w:lineRule="exact"/>
              <w:rPr>
                <w:sz w:val="20"/>
                <w:szCs w:val="20"/>
                <w:color w:val="auto"/>
              </w:rPr>
            </w:pPr>
            <w:r>
              <w:rPr>
                <w:rFonts w:ascii="Times New Roman" w:cs="Times New Roman" w:eastAsia="Times New Roman" w:hAnsi="Times New Roman"/>
                <w:sz w:val="18"/>
                <w:szCs w:val="18"/>
                <w:color w:val="auto"/>
              </w:rPr>
              <w:t>Income tax effects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(143,744)</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3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408"/>
        <w:spacing w:after="0" w:line="277"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17 - Derivatives and Hedge Accounting and Note 20 - Employee Benefit Plans to the unaudited consolidated financial statements for reclassification to net income.</w:t>
      </w:r>
    </w:p>
    <w:p>
      <w:pPr>
        <w:spacing w:after="0" w:line="83" w:lineRule="exact"/>
        <w:rPr>
          <w:rFonts w:ascii="Times New Roman" w:cs="Times New Roman" w:eastAsia="Times New Roman" w:hAnsi="Times New Roman"/>
          <w:sz w:val="18"/>
          <w:szCs w:val="18"/>
          <w:color w:val="auto"/>
        </w:rPr>
      </w:pPr>
    </w:p>
    <w:p>
      <w:pPr>
        <w:ind w:firstLine="408"/>
        <w:spacing w:after="0" w:line="277" w:lineRule="auto"/>
        <w:tabs>
          <w:tab w:leader="none" w:pos="6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income tax effects recognized on currency translation adjustments, cash flow hedges and retirement benefits. Refer to Note 22 - Income Taxes to the unaudited consolidated financial statements.</w:t>
      </w:r>
    </w:p>
    <w:p>
      <w:pPr>
        <w:spacing w:after="0" w:line="105"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recognized at fair value:</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120" w:type="dxa"/>
            <w:vAlign w:val="bottom"/>
          </w:tcPr>
          <w:p>
            <w:pPr>
              <w:spacing w:after="0"/>
              <w:rPr>
                <w:sz w:val="17"/>
                <w:szCs w:val="17"/>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7"/>
                <w:szCs w:val="17"/>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860" w:type="dxa"/>
            <w:vAlign w:val="bottom"/>
          </w:tcPr>
          <w:p>
            <w:pPr>
              <w:spacing w:after="0"/>
              <w:rPr>
                <w:sz w:val="6"/>
                <w:szCs w:val="6"/>
                <w:color w:val="auto"/>
              </w:rPr>
            </w:pPr>
          </w:p>
        </w:tc>
        <w:tc>
          <w:tcPr>
            <w:tcW w:w="1760" w:type="dxa"/>
            <w:vAlign w:val="bottom"/>
            <w:gridSpan w:val="3"/>
            <w:vMerge w:val="restart"/>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2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Identical Assets</w:t>
            </w: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Cash equivalents - Money market funds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71,463</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0" w:type="dxa"/>
            <w:vAlign w:val="bottom"/>
          </w:tcPr>
          <w:p>
            <w:pPr>
              <w:spacing w:after="0"/>
              <w:rPr>
                <w:sz w:val="1"/>
                <w:szCs w:val="1"/>
                <w:color w:val="auto"/>
              </w:rPr>
            </w:pPr>
          </w:p>
        </w:tc>
      </w:tr>
      <w:tr>
        <w:trPr>
          <w:trHeight w:val="245"/>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64,329</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Contingent consideration</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9"/>
        </w:trPr>
        <w:tc>
          <w:tcPr>
            <w:tcW w:w="386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64,329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69,329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71"/>
              <w:spacing w:after="0" w:line="147" w:lineRule="exact"/>
              <w:rPr>
                <w:sz w:val="20"/>
                <w:szCs w:val="20"/>
                <w:color w:val="auto"/>
              </w:rPr>
            </w:pPr>
            <w:r>
              <w:rPr>
                <w:rFonts w:ascii="Times New Roman" w:cs="Times New Roman" w:eastAsia="Times New Roman" w:hAnsi="Times New Roman"/>
                <w:sz w:val="17"/>
                <w:szCs w:val="17"/>
                <w:b w:val="1"/>
                <w:bCs w:val="1"/>
                <w:color w:val="auto"/>
              </w:rPr>
              <w:t>Quoted 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2"/>
                <w:szCs w:val="12"/>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860" w:type="dxa"/>
            <w:vAlign w:val="bottom"/>
          </w:tcPr>
          <w:p>
            <w:pPr>
              <w:spacing w:after="0"/>
              <w:rPr>
                <w:sz w:val="6"/>
                <w:szCs w:val="6"/>
                <w:color w:val="auto"/>
              </w:rPr>
            </w:pPr>
          </w:p>
        </w:tc>
        <w:tc>
          <w:tcPr>
            <w:tcW w:w="1760" w:type="dxa"/>
            <w:vAlign w:val="bottom"/>
            <w:gridSpan w:val="3"/>
            <w:vMerge w:val="restart"/>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2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Identical Assets</w:t>
            </w: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Cash equivalents - Money market funds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129,549</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45"/>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Contingent consideration</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5"/>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20" w:firstLine="408"/>
        <w:spacing w:after="0" w:line="277" w:lineRule="auto"/>
        <w:tabs>
          <w:tab w:leader="none" w:pos="7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money market funds and short-term investments which are carried at the fair value option under ASC Topic 825 “Financial Instruments”.</w:t>
      </w:r>
    </w:p>
    <w:p>
      <w:pPr>
        <w:spacing w:after="0" w:line="203"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is presented under “Accrued expenses and other current liabilities”, in the consolidated balance sheets.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 Financial Instruments</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both"/>
        <w:ind w:right="20" w:firstLine="401"/>
        <w:spacing w:after="0" w:line="277" w:lineRule="auto"/>
        <w:rPr>
          <w:sz w:val="20"/>
          <w:szCs w:val="20"/>
          <w:color w:val="auto"/>
        </w:rPr>
      </w:pPr>
      <w:r>
        <w:rPr>
          <w:rFonts w:ascii="Times New Roman" w:cs="Times New Roman" w:eastAsia="Times New Roman" w:hAnsi="Times New Roman"/>
          <w:sz w:val="18"/>
          <w:szCs w:val="18"/>
          <w:color w:val="auto"/>
        </w:rPr>
        <w:t>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18"/>
          <w:szCs w:val="18"/>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contingent consideration:</w:t>
            </w: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3"/>
        </w:trPr>
        <w:tc>
          <w:tcPr>
            <w:tcW w:w="7100" w:type="dxa"/>
            <w:vAlign w:val="bottom"/>
          </w:tcPr>
          <w:p>
            <w:pPr>
              <w:spacing w:after="0"/>
              <w:rPr>
                <w:sz w:val="22"/>
                <w:szCs w:val="22"/>
                <w:color w:val="auto"/>
              </w:rPr>
            </w:pPr>
          </w:p>
        </w:tc>
        <w:tc>
          <w:tcPr>
            <w:tcW w:w="316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2"/>
                <w:szCs w:val="22"/>
                <w:color w:val="auto"/>
              </w:rPr>
            </w:pPr>
          </w:p>
        </w:tc>
      </w:tr>
      <w:tr>
        <w:trPr>
          <w:trHeight w:val="220"/>
        </w:trPr>
        <w:tc>
          <w:tcPr>
            <w:tcW w:w="7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r>
      <w:tr>
        <w:trPr>
          <w:trHeight w:val="22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20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changes</w:t>
            </w:r>
          </w:p>
        </w:tc>
        <w:tc>
          <w:tcPr>
            <w:tcW w:w="1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1200" w:type="dxa"/>
            <w:vAlign w:val="bottom"/>
            <w:tcBorders>
              <w:top w:val="single" w:sz="8" w:color="auto"/>
              <w:bottom w:val="single" w:sz="8" w:color="auto"/>
            </w:tcBorders>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0"/>
        </w:trPr>
        <w:tc>
          <w:tcPr>
            <w:tcW w:w="7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there were no transfers among Level 1, Level 2 and Level 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both"/>
        <w:ind w:firstLine="401"/>
        <w:spacing w:after="0" w:line="239"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and term loan facility approximates its fair value because the Company’s interest rate yield is near current market rates for comparable debt instruments.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171" w:lineRule="exact"/>
        <w:rPr>
          <w:sz w:val="20"/>
          <w:szCs w:val="20"/>
          <w:color w:val="auto"/>
        </w:rPr>
      </w:pPr>
    </w:p>
    <w:p>
      <w:pPr>
        <w:jc w:val="both"/>
        <w:ind w:firstLine="441"/>
        <w:spacing w:after="0" w:line="247" w:lineRule="auto"/>
        <w:rPr>
          <w:sz w:val="20"/>
          <w:szCs w:val="20"/>
          <w:color w:val="auto"/>
        </w:rPr>
      </w:pPr>
      <w:r>
        <w:rPr>
          <w:rFonts w:ascii="Times New Roman" w:cs="Times New Roman" w:eastAsia="Times New Roman" w:hAnsi="Times New Roman"/>
          <w:sz w:val="18"/>
          <w:szCs w:val="18"/>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revenues and other transactions denominated in certain foreign currencies. These contracts qualify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with counterparties that are highly rated financial institutions.</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aggregate notional amount of derivatives in cash flow hedging relationship:</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57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20"/>
        </w:trPr>
        <w:tc>
          <w:tcPr>
            <w:tcW w:w="7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forward contracts denominated in:</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7"/>
        </w:trPr>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Sell U.S. dollar (USD)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1,092,000</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1,134,800</w:t>
            </w:r>
          </w:p>
        </w:tc>
      </w:tr>
      <w:tr>
        <w:trPr>
          <w:trHeight w:val="227"/>
        </w:trPr>
        <w:tc>
          <w:tcPr>
            <w:tcW w:w="7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Buy U.S. dollar (USD)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w:t>
            </w:r>
          </w:p>
        </w:tc>
      </w:tr>
    </w:tbl>
    <w:p>
      <w:pPr>
        <w:spacing w:after="0" w:line="222"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The Company estimates that approximately $35,560 of derivative loss, net, excluding tax effects, included in AOCI, representing changes in the value of cash flow hedges based on exchange rates prevailing as of March 31, 2026, could be reclassified into earnings within the next twelve months. As of March 31, 2026, the maximum outstanding term of the cash flow hedges was approximately 39 months.</w:t>
      </w:r>
    </w:p>
    <w:p>
      <w:pPr>
        <w:spacing w:after="0" w:line="110" w:lineRule="exact"/>
        <w:rPr>
          <w:sz w:val="20"/>
          <w:szCs w:val="20"/>
          <w:color w:val="auto"/>
        </w:rPr>
      </w:pPr>
    </w:p>
    <w:p>
      <w:pPr>
        <w:jc w:val="both"/>
        <w:ind w:firstLine="441"/>
        <w:spacing w:after="0" w:line="239" w:lineRule="auto"/>
        <w:rPr>
          <w:sz w:val="20"/>
          <w:szCs w:val="20"/>
          <w:color w:val="auto"/>
        </w:rPr>
      </w:pPr>
      <w:r>
        <w:rPr>
          <w:rFonts w:ascii="Times New Roman" w:cs="Times New Roman" w:eastAsia="Times New Roman" w:hAnsi="Times New Roman"/>
          <w:sz w:val="18"/>
          <w:szCs w:val="18"/>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Changes in the fair value of these financial instruments are recognized in the unaudited consolidated statements of income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foreign exchange gain, net line item.</w:t>
      </w:r>
    </w:p>
    <w:p>
      <w:pPr>
        <w:spacing w:after="0" w:line="212"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aggregate notional principal amounts of outstanding foreign currency forward contracts for derivatives not designated as hedging instruments:</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forward contracts denominated in:</w:t>
            </w:r>
          </w:p>
        </w:tc>
        <w:tc>
          <w:tcPr>
            <w:tcW w:w="16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57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20"/>
        </w:trPr>
        <w:tc>
          <w:tcPr>
            <w:tcW w:w="7120" w:type="dxa"/>
            <w:vAlign w:val="bottom"/>
            <w:gridSpan w:val="2"/>
            <w:vMerge w:val="continue"/>
          </w:tcPr>
          <w:p>
            <w:pPr>
              <w:spacing w:after="0"/>
              <w:rPr>
                <w:sz w:val="19"/>
                <w:szCs w:val="19"/>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0"/>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USD</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267,185</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217,040</w:t>
            </w:r>
          </w:p>
        </w:tc>
        <w:tc>
          <w:tcPr>
            <w:tcW w:w="0" w:type="dxa"/>
            <w:vAlign w:val="bottom"/>
          </w:tcPr>
          <w:p>
            <w:pPr>
              <w:spacing w:after="0"/>
              <w:rPr>
                <w:sz w:val="1"/>
                <w:szCs w:val="1"/>
                <w:color w:val="auto"/>
              </w:rPr>
            </w:pPr>
          </w:p>
        </w:tc>
      </w:tr>
      <w:tr>
        <w:trPr>
          <w:trHeight w:val="227"/>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 GBP</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27,559</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35,962</w:t>
            </w:r>
          </w:p>
        </w:tc>
        <w:tc>
          <w:tcPr>
            <w:tcW w:w="0" w:type="dxa"/>
            <w:vAlign w:val="bottom"/>
          </w:tcPr>
          <w:p>
            <w:pPr>
              <w:spacing w:after="0"/>
              <w:rPr>
                <w:sz w:val="1"/>
                <w:szCs w:val="1"/>
                <w:color w:val="auto"/>
              </w:rPr>
            </w:pPr>
          </w:p>
        </w:tc>
      </w:tr>
      <w:tr>
        <w:trPr>
          <w:trHeight w:val="227"/>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EUR</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0" w:type="dxa"/>
            <w:vAlign w:val="bottom"/>
          </w:tcPr>
          <w:p>
            <w:pPr>
              <w:spacing w:after="0"/>
              <w:rPr>
                <w:sz w:val="1"/>
                <w:szCs w:val="1"/>
                <w:color w:val="auto"/>
              </w:rPr>
            </w:pPr>
          </w:p>
        </w:tc>
      </w:tr>
      <w:tr>
        <w:trPr>
          <w:trHeight w:val="227"/>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 AUD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0" w:type="dxa"/>
            <w:vAlign w:val="bottom"/>
          </w:tcPr>
          <w:p>
            <w:pPr>
              <w:spacing w:after="0"/>
              <w:rPr>
                <w:sz w:val="1"/>
                <w:szCs w:val="1"/>
                <w:color w:val="auto"/>
              </w:rPr>
            </w:pPr>
          </w:p>
        </w:tc>
      </w:tr>
      <w:tr>
        <w:trPr>
          <w:trHeight w:val="227"/>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USD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fair value of the foreign currency forward contracts and their location on the consolidated balance sheets:</w:t>
      </w:r>
    </w:p>
    <w:p>
      <w:pPr>
        <w:spacing w:after="0" w:line="17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200" w:type="dxa"/>
            <w:vAlign w:val="bottom"/>
          </w:tcPr>
          <w:p>
            <w:pPr>
              <w:spacing w:after="0"/>
              <w:rPr>
                <w:sz w:val="17"/>
                <w:szCs w:val="17"/>
                <w:color w:val="auto"/>
              </w:rPr>
            </w:pPr>
          </w:p>
        </w:tc>
        <w:tc>
          <w:tcPr>
            <w:tcW w:w="3480" w:type="dxa"/>
            <w:vAlign w:val="bottom"/>
            <w:gridSpan w:val="4"/>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Derivatives not designated as hedging</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3480" w:type="dxa"/>
            <w:vAlign w:val="bottom"/>
            <w:gridSpan w:val="4"/>
            <w:vMerge w:val="restart"/>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0" w:type="dxa"/>
            <w:vAlign w:val="bottom"/>
          </w:tcPr>
          <w:p>
            <w:pPr>
              <w:spacing w:after="0"/>
              <w:rPr>
                <w:sz w:val="1"/>
                <w:szCs w:val="1"/>
                <w:color w:val="auto"/>
              </w:rPr>
            </w:pPr>
          </w:p>
        </w:tc>
      </w:tr>
      <w:tr>
        <w:trPr>
          <w:trHeight w:val="91"/>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left="135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19"/>
                <w:szCs w:val="19"/>
                <w:color w:val="auto"/>
              </w:rPr>
            </w:pPr>
          </w:p>
        </w:tc>
        <w:tc>
          <w:tcPr>
            <w:tcW w:w="16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19"/>
                <w:szCs w:val="19"/>
                <w:color w:val="auto"/>
              </w:rPr>
            </w:pPr>
          </w:p>
        </w:tc>
        <w:tc>
          <w:tcPr>
            <w:tcW w:w="16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0" w:type="dxa"/>
            <w:vAlign w:val="bottom"/>
          </w:tcPr>
          <w:p>
            <w:pPr>
              <w:spacing w:after="0"/>
              <w:rPr>
                <w:sz w:val="1"/>
                <w:szCs w:val="1"/>
                <w:color w:val="auto"/>
              </w:rPr>
            </w:pPr>
          </w:p>
        </w:tc>
      </w:tr>
      <w:tr>
        <w:trPr>
          <w:trHeight w:val="220"/>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7"/>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380" w:type="dxa"/>
            <w:vAlign w:val="bottom"/>
            <w:gridSpan w:val="2"/>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3"/>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effect of foreign currency forward contracts on AOCI and the unaudited consolidated statements of income:</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gain/(loss) recognized in other comprehensive income (“OCI”)</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61"/>
        </w:trPr>
        <w:tc>
          <w:tcPr>
            <w:tcW w:w="7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380" w:type="dxa"/>
            <w:vAlign w:val="bottom"/>
            <w:tcBorders>
              <w:bottom w:val="single" w:sz="8" w:color="CCEEFF"/>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(45,935)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9,469</w:t>
            </w:r>
          </w:p>
        </w:tc>
      </w:tr>
      <w:tr>
        <w:trPr>
          <w:trHeight w:val="227"/>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Gain/(loss) recognized in unaudited consolidated statements of income</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bl>
    <w:p>
      <w:pPr>
        <w:spacing w:after="0" w:line="200" w:lineRule="exact"/>
        <w:rPr>
          <w:sz w:val="20"/>
          <w:szCs w:val="20"/>
          <w:color w:val="auto"/>
        </w:rPr>
      </w:pPr>
    </w:p>
    <w:p>
      <w:pPr>
        <w:sectPr>
          <w:pgSz w:w="11900" w:h="16838" w:orient="portrait"/>
          <w:cols w:equalWidth="0" w:num="1">
            <w:col w:w="11160"/>
          </w:cols>
          <w:pgMar w:left="32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401"/>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4"/>
            <w:shd w:val="clear" w:color="auto" w:fill="CCEEFF"/>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As per unaudited</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center"/>
              <w:ind w:right="34"/>
              <w:spacing w:after="0" w:line="129"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40" w:type="dxa"/>
            <w:vAlign w:val="bottom"/>
            <w:gridSpan w:val="5"/>
            <w:shd w:val="clear" w:color="auto" w:fill="CCEEFF"/>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As per unaudited</w:t>
            </w:r>
          </w:p>
        </w:tc>
        <w:tc>
          <w:tcPr>
            <w:tcW w:w="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center"/>
              <w:ind w:right="200"/>
              <w:spacing w:after="0" w:line="136"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6"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4"/>
            <w:shd w:val="clear" w:color="auto" w:fill="CCEEFF"/>
          </w:tcPr>
          <w:p>
            <w:pPr>
              <w:jc w:val="center"/>
              <w:ind w:right="300"/>
              <w:spacing w:after="0" w:line="136"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ind w:right="74"/>
              <w:spacing w:after="0" w:line="136"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5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Derivatives in cash flow hedging relationships</w:t>
            </w:r>
          </w:p>
        </w:tc>
        <w:tc>
          <w:tcPr>
            <w:tcW w:w="9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5760" w:type="dxa"/>
            <w:vAlign w:val="bottom"/>
            <w:gridSpan w:val="8"/>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 gain/(loss)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 reclassified from AOCI</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570,351</w:t>
            </w: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501,019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348,270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69,051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before tax</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4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2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3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5760" w:type="dxa"/>
            <w:vAlign w:val="bottom"/>
            <w:gridSpan w:val="8"/>
          </w:tcPr>
          <w:p>
            <w:pPr>
              <w:ind w:left="20"/>
              <w:spacing w:after="0" w:line="174"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 gain/(loss)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320" w:type="dxa"/>
            <w:vAlign w:val="bottom"/>
          </w:tcPr>
          <w:p>
            <w:pPr>
              <w:spacing w:after="0"/>
              <w:rPr>
                <w:sz w:val="23"/>
                <w:szCs w:val="23"/>
                <w:color w:val="auto"/>
              </w:rPr>
            </w:pPr>
          </w:p>
        </w:tc>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was recognized</w:t>
            </w:r>
          </w:p>
        </w:tc>
        <w:tc>
          <w:tcPr>
            <w:tcW w:w="4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463"/>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Borrowings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20" w:type="dxa"/>
            <w:vAlign w:val="bottom"/>
          </w:tcPr>
          <w:p>
            <w:pPr>
              <w:spacing w:after="0"/>
              <w:rPr>
                <w:sz w:val="24"/>
                <w:szCs w:val="24"/>
                <w:color w:val="auto"/>
              </w:rPr>
            </w:pPr>
          </w:p>
        </w:tc>
        <w:tc>
          <w:tcPr>
            <w:tcW w:w="47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The following table summarizes the Company’s debt position:</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March 31, 2026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8"/>
          </w:tcPr>
          <w:p>
            <w:pPr>
              <w:ind w:left="9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8"/>
                <w:szCs w:val="18"/>
                <w:b w:val="1"/>
                <w:bCs w:val="1"/>
                <w:color w:val="auto"/>
              </w:rPr>
              <w:t>Revolving credit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line="167" w:lineRule="exact"/>
              <w:rPr>
                <w:sz w:val="20"/>
                <w:szCs w:val="20"/>
                <w:color w:val="auto"/>
              </w:rPr>
            </w:pPr>
            <w:r>
              <w:rPr>
                <w:rFonts w:ascii="Times New Roman" w:cs="Times New Roman" w:eastAsia="Times New Roman" w:hAnsi="Times New Roman"/>
                <w:sz w:val="18"/>
                <w:szCs w:val="18"/>
                <w:b w:val="1"/>
                <w:bCs w:val="1"/>
                <w:color w:val="auto"/>
              </w:rPr>
              <w:t>Term loan</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320" w:type="dxa"/>
            <w:vAlign w:val="bottom"/>
            <w:gridSpan w:val="4"/>
            <w:shd w:val="clear" w:color="auto" w:fill="CCEEFF"/>
          </w:tcPr>
          <w:p>
            <w:pPr>
              <w:jc w:val="right"/>
              <w:spacing w:after="0" w:line="167" w:lineRule="exact"/>
              <w:rPr>
                <w:sz w:val="20"/>
                <w:szCs w:val="20"/>
                <w:color w:val="auto"/>
              </w:rPr>
            </w:pPr>
            <w:r>
              <w:rPr>
                <w:rFonts w:ascii="Times New Roman" w:cs="Times New Roman" w:eastAsia="Times New Roman" w:hAnsi="Times New Roman"/>
                <w:sz w:val="18"/>
                <w:szCs w:val="18"/>
                <w:b w:val="1"/>
                <w:bCs w:val="1"/>
                <w:color w:val="auto"/>
              </w:rPr>
              <w:t>Revolving credit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center"/>
              <w:ind w:right="220"/>
              <w:spacing w:after="0" w:line="167" w:lineRule="exact"/>
              <w:rPr>
                <w:sz w:val="20"/>
                <w:szCs w:val="20"/>
                <w:color w:val="auto"/>
              </w:rPr>
            </w:pPr>
            <w:r>
              <w:rPr>
                <w:rFonts w:ascii="Times New Roman" w:cs="Times New Roman" w:eastAsia="Times New Roman" w:hAnsi="Times New Roman"/>
                <w:sz w:val="18"/>
                <w:szCs w:val="18"/>
                <w:b w:val="1"/>
                <w:bCs w:val="1"/>
                <w:color w:val="auto"/>
                <w:w w:val="96"/>
              </w:rPr>
              <w:t>Term loan</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8"/>
              </w:rPr>
              <w:t>facility</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20" w:type="dxa"/>
            <w:vAlign w:val="bottom"/>
          </w:tcPr>
          <w:p>
            <w:pPr>
              <w:spacing w:after="0"/>
              <w:rPr>
                <w:sz w:val="8"/>
                <w:szCs w:val="8"/>
                <w:color w:val="auto"/>
              </w:rPr>
            </w:pPr>
          </w:p>
        </w:tc>
        <w:tc>
          <w:tcPr>
            <w:tcW w:w="3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42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31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Current portion of long-term</w:t>
            </w: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320" w:type="dxa"/>
            <w:vAlign w:val="bottom"/>
          </w:tcPr>
          <w:p>
            <w:pPr>
              <w:spacing w:after="0"/>
              <w:rPr>
                <w:sz w:val="23"/>
                <w:szCs w:val="23"/>
                <w:color w:val="auto"/>
              </w:rPr>
            </w:pPr>
          </w:p>
        </w:tc>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4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4,886</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88,750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293,750</w:t>
            </w: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87,491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412,491</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88,712</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293,712</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92,377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417,377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93,598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401"/>
        <w:spacing w:after="0" w:line="277" w:lineRule="auto"/>
        <w:rPr>
          <w:sz w:val="20"/>
          <w:szCs w:val="20"/>
          <w:color w:val="auto"/>
        </w:rPr>
      </w:pPr>
      <w:r>
        <w:rPr>
          <w:rFonts w:ascii="Times New Roman" w:cs="Times New Roman" w:eastAsia="Times New Roman" w:hAnsi="Times New Roman"/>
          <w:sz w:val="18"/>
          <w:szCs w:val="18"/>
          <w:color w:val="auto"/>
        </w:rPr>
        <w:t>Unamortized debt issuance costs for the Company’s revolving credit facility of $410 and $507 as of March 31, 2026 and December 31, 2025, respectively, are presented under “Other current assets” and “Other assets,” as applicable,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56" w:lineRule="exact"/>
        <w:rPr>
          <w:sz w:val="20"/>
          <w:szCs w:val="20"/>
          <w:color w:val="auto"/>
        </w:rPr>
      </w:pPr>
    </w:p>
    <w:p>
      <w:pPr>
        <w:jc w:val="both"/>
        <w:ind w:firstLine="401"/>
        <w:spacing w:after="0" w:line="239" w:lineRule="auto"/>
        <w:rPr>
          <w:sz w:val="20"/>
          <w:szCs w:val="20"/>
          <w:color w:val="auto"/>
        </w:rPr>
      </w:pPr>
      <w:r>
        <w:rPr>
          <w:rFonts w:ascii="Times New Roman" w:cs="Times New Roman" w:eastAsia="Times New Roman" w:hAnsi="Times New Roman"/>
          <w:sz w:val="18"/>
          <w:szCs w:val="18"/>
          <w:color w:val="auto"/>
        </w:rPr>
        <w:t>The Company held a $300,000 revolving credit facility pursuant to its credit agreement (the “Credit Agreement”), dated as of November 21, 2017 with certain lenders and Citibank N.A. as Administrative Agent. This agreement was amended and restated in April 2022, followed by the First Amendment to Amended and Restated Credit Agreement in August 2024 (the “2024 Credit Agreement”). Among other things, the 2024 Credit Agreement increased revolving credit commitments to $500,000 and provided a new term loan facility of $100,000 with an annual repayment amount of 5%. The increased revolving credit facility and the new term loan facility both mature on April 18, 2027.</w:t>
      </w:r>
    </w:p>
    <w:p>
      <w:pPr>
        <w:spacing w:after="0" w:line="212" w:lineRule="exact"/>
        <w:rPr>
          <w:sz w:val="20"/>
          <w:szCs w:val="20"/>
          <w:color w:val="auto"/>
        </w:rPr>
      </w:pPr>
    </w:p>
    <w:p>
      <w:pPr>
        <w:jc w:val="both"/>
        <w:ind w:firstLine="401"/>
        <w:spacing w:after="0" w:line="235" w:lineRule="auto"/>
        <w:rPr>
          <w:sz w:val="20"/>
          <w:szCs w:val="20"/>
          <w:color w:val="auto"/>
        </w:rPr>
      </w:pPr>
      <w:r>
        <w:rPr>
          <w:rFonts w:ascii="Times New Roman" w:cs="Times New Roman" w:eastAsia="Times New Roman" w:hAnsi="Times New Roman"/>
          <w:sz w:val="18"/>
          <w:szCs w:val="18"/>
          <w:color w:val="auto"/>
        </w:rPr>
        <w:t>Under the 2024 Credit Agreement, obligations bear interest at a rate equal to specified prime rate (alternate base rate) or the adjusted secured overnight financing rate (SOFR) specified therein, plus, in each case, an applicable margin, and are guaranteed by the Company’s wholly-owned material domestic subsidiaries and secured by all or substantially all of the Company’s and its material domestic subsidiaries’ assets. The revolving credit commitments are subject to a commitment fee. The 2024 Credit Agreement includes a letter of credit sub facility and is voluntarily pre-payable from time to time without premium or penalty. Borrowings under the revolving credit facility can be used for working capital and general corporate purposes, including permitted acquisitions.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effective interest rates of the revolving credit facility and the term loan facility are as follows:</w:t>
      </w:r>
    </w:p>
    <w:p>
      <w:pPr>
        <w:spacing w:after="0" w:line="203"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70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2026 and December 31, 2025, the Company was in compliance with the financial covenants under the 2024 Credit Agreement.</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maturity profile of the Company’s long-term borrowings, excluding debt issuance costs, outstanding as of March 31, 2026 was as follows:</w:t>
      </w:r>
    </w:p>
    <w:p>
      <w:pPr>
        <w:spacing w:after="0" w:line="28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180" w:type="dxa"/>
            <w:vAlign w:val="bottom"/>
          </w:tcPr>
          <w:p>
            <w:pPr>
              <w:spacing w:after="0"/>
              <w:rPr>
                <w:sz w:val="20"/>
                <w:szCs w:val="20"/>
                <w:color w:val="auto"/>
              </w:rPr>
            </w:pPr>
          </w:p>
        </w:tc>
        <w:tc>
          <w:tcPr>
            <w:tcW w:w="16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9"/>
              </w:rPr>
              <w:t>Term loan facility</w:t>
            </w:r>
          </w:p>
        </w:tc>
      </w:tr>
      <w:tr>
        <w:trPr>
          <w:trHeight w:val="220"/>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(April 1 - December 31)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7"/>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88,750</w:t>
            </w:r>
          </w:p>
        </w:tc>
      </w:tr>
      <w:tr>
        <w:trPr>
          <w:trHeight w:val="245"/>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9"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to third parties primarily for facility leases. As of March 31, 2026 and December 31, 2025, the Company had outstanding letters of credit of $1,137 and $1,598, respectively, that were not recognized in the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58" w:lineRule="exact"/>
        <w:rPr>
          <w:sz w:val="20"/>
          <w:szCs w:val="20"/>
          <w:color w:val="auto"/>
        </w:rPr>
      </w:pPr>
    </w:p>
    <w:p>
      <w:pPr>
        <w:ind w:firstLine="401"/>
        <w:spacing w:after="0" w:line="260" w:lineRule="auto"/>
        <w:rPr>
          <w:sz w:val="20"/>
          <w:szCs w:val="20"/>
          <w:color w:val="auto"/>
        </w:rPr>
      </w:pPr>
      <w:r>
        <w:rPr>
          <w:rFonts w:ascii="Times New Roman" w:cs="Times New Roman" w:eastAsia="Times New Roman" w:hAnsi="Times New Roman"/>
          <w:sz w:val="18"/>
          <w:szCs w:val="18"/>
          <w:color w:val="auto"/>
        </w:rPr>
        <w:t>The Company purchased shares of its common stock from certain employees in connection with withholding tax payments related to the vesting of restricted stock units and performance-based restricted stock units, as below:</w:t>
      </w:r>
    </w:p>
    <w:tbl>
      <w:tblPr>
        <w:tblLayout w:type="fixed"/>
        <w:tblInd w:w="3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68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Weighted average purchase price</w:t>
            </w:r>
          </w:p>
        </w:tc>
      </w:tr>
      <w:tr>
        <w:trPr>
          <w:trHeight w:val="240"/>
        </w:trPr>
        <w:tc>
          <w:tcPr>
            <w:tcW w:w="526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repurchased</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consideration</w:t>
            </w:r>
          </w:p>
        </w:tc>
        <w:tc>
          <w:tcPr>
            <w:tcW w:w="500" w:type="dxa"/>
            <w:vAlign w:val="bottom"/>
          </w:tcPr>
          <w:p>
            <w:pPr>
              <w:spacing w:after="0"/>
              <w:rPr>
                <w:sz w:val="20"/>
                <w:szCs w:val="20"/>
                <w:color w:val="auto"/>
              </w:rPr>
            </w:pPr>
          </w:p>
        </w:tc>
        <w:tc>
          <w:tcPr>
            <w:tcW w:w="2180" w:type="dxa"/>
            <w:vAlign w:val="bottom"/>
          </w:tcPr>
          <w:p>
            <w:pPr>
              <w:jc w:val="right"/>
              <w:ind w:right="791"/>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per share </w:t>
            </w:r>
            <w:r>
              <w:rPr>
                <w:rFonts w:ascii="Times New Roman" w:cs="Times New Roman" w:eastAsia="Times New Roman" w:hAnsi="Times New Roman"/>
                <w:sz w:val="23"/>
                <w:szCs w:val="23"/>
                <w:b w:val="1"/>
                <w:bCs w:val="1"/>
                <w:color w:val="auto"/>
                <w:vertAlign w:val="superscript"/>
              </w:rPr>
              <w:t>(1)</w:t>
            </w:r>
          </w:p>
        </w:tc>
      </w:tr>
      <w:tr>
        <w:trPr>
          <w:trHeight w:val="22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3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8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r>
    </w:tbl>
    <w:p>
      <w:pPr>
        <w:spacing w:after="0" w:line="230" w:lineRule="exact"/>
        <w:rPr>
          <w:sz w:val="20"/>
          <w:szCs w:val="20"/>
          <w:color w:val="auto"/>
        </w:rPr>
      </w:pPr>
    </w:p>
    <w:p>
      <w:pPr>
        <w:ind w:firstLine="408"/>
        <w:spacing w:after="0" w:line="262" w:lineRule="auto"/>
        <w:tabs>
          <w:tab w:leader="none" w:pos="6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purchase price per share is based on the closing price of the Company’s common stock on the Nasdaq Global Select Market on the trading day prior to the applicable vesting date of the restricted stock units.</w:t>
      </w:r>
    </w:p>
    <w:p>
      <w:pPr>
        <w:spacing w:after="0" w:line="163"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$500,000 (excluding excise tax) common stock repurchase program beginning March 1, 2024 (the “2024 Repurchase Program”), which was terminated effective February 28, 2026.</w:t>
      </w:r>
    </w:p>
    <w:p>
      <w:pPr>
        <w:spacing w:after="0" w:line="176"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On February 19, 2026, the Company’s board of directors authorized a $500,000 (excluding excise tax) common stock repurchase program effective February 28, 2026 (the “2026 Repurchase Program”), which replaced the 2024 repurchase program.</w:t>
      </w:r>
    </w:p>
    <w:p>
      <w:pPr>
        <w:spacing w:after="0" w:line="189" w:lineRule="exact"/>
        <w:rPr>
          <w:sz w:val="20"/>
          <w:szCs w:val="20"/>
          <w:color w:val="auto"/>
        </w:rPr>
      </w:pPr>
    </w:p>
    <w:p>
      <w:pPr>
        <w:jc w:val="both"/>
        <w:ind w:firstLine="401"/>
        <w:spacing w:after="0" w:line="250" w:lineRule="auto"/>
        <w:rPr>
          <w:sz w:val="20"/>
          <w:szCs w:val="20"/>
          <w:color w:val="auto"/>
        </w:rPr>
      </w:pPr>
      <w:r>
        <w:rPr>
          <w:rFonts w:ascii="Times New Roman" w:cs="Times New Roman" w:eastAsia="Times New Roman" w:hAnsi="Times New Roman"/>
          <w:sz w:val="18"/>
          <w:szCs w:val="18"/>
          <w:color w:val="auto"/>
        </w:rPr>
        <w:t>On March 16, 2026, the Company entered into the 2026 ASR Agreement with Morgan Stanley to repurchase shares of its common stock for an aggregate purchase price of $125,000, as part of the Company’s 2026 Repurchase Program. Upon payment of the aggregate purchase price of $125,000, the Company received an initial delivery of 3,346,720 shares of its common stock at an initial price of $29.88 per share, representing 80% of the aggregate purchase price. The Company funded the repurchase with available cash on hand and borrowing from its revolving credit facility. The 2026 ASR Agreement is accounted for as a treasury stock transaction and forward stock purchase agreement indexed to the Company’s common stock. The forward stock purchase agreement is classified as an equity instrument under ASC 815-40, Contracts in Entity's Own Equity ("ASC 815-40") and deemed to have a fair value of zero at the effective date. Under the terms of the 2026 ASR Agreement, the ultimate number of shares of common stock that the Company will repurchase will be based on the average of the daily volume-weighted average price of the common stock during the term of the 2026 ASR Agreement, less a discount and subject to adjustments pursuant to the terms and conditions of the 2026 ASR Agreement. At final settlement, Morgan Stanley may be required to deliver additional shares of common stock to the Company, or, under certain circumstances, the Company may be required to make a cash payment or deliver shares of common stock at its election to Morgan Stanley. The final settlement of the 2026 ASR Agreement is expected to be completed on June 16, 2026, subject to acceleration at Morgan Stanley’s discretion, which may occur on or after the lock-out date of April 10, 2026.</w:t>
      </w:r>
    </w:p>
    <w:p>
      <w:pPr>
        <w:spacing w:after="0" w:line="205" w:lineRule="exact"/>
        <w:rPr>
          <w:sz w:val="20"/>
          <w:szCs w:val="20"/>
          <w:color w:val="auto"/>
        </w:rPr>
      </w:pPr>
    </w:p>
    <w:p>
      <w:pPr>
        <w:jc w:val="both"/>
        <w:ind w:firstLine="401"/>
        <w:spacing w:after="0" w:line="247" w:lineRule="auto"/>
        <w:rPr>
          <w:sz w:val="20"/>
          <w:szCs w:val="20"/>
          <w:color w:val="auto"/>
        </w:rPr>
      </w:pPr>
      <w:r>
        <w:rPr>
          <w:rFonts w:ascii="Times New Roman" w:cs="Times New Roman" w:eastAsia="Times New Roman" w:hAnsi="Times New Roman"/>
          <w:sz w:val="18"/>
          <w:szCs w:val="18"/>
          <w:color w:val="auto"/>
        </w:rPr>
        <w:t>Under the Company’s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203" w:lineRule="exact"/>
        <w:rPr>
          <w:sz w:val="20"/>
          <w:szCs w:val="20"/>
          <w:color w:val="auto"/>
        </w:rPr>
      </w:pPr>
    </w:p>
    <w:p>
      <w:pPr>
        <w:jc w:val="both"/>
        <w:ind w:firstLine="401"/>
        <w:spacing w:after="0" w:line="260" w:lineRule="auto"/>
        <w:rPr>
          <w:sz w:val="20"/>
          <w:szCs w:val="20"/>
          <w:color w:val="auto"/>
        </w:rPr>
      </w:pPr>
      <w:r>
        <w:rPr>
          <w:rFonts w:ascii="Times New Roman" w:cs="Times New Roman" w:eastAsia="Times New Roman" w:hAnsi="Times New Roman"/>
          <w:sz w:val="18"/>
          <w:szCs w:val="18"/>
          <w:color w:val="auto"/>
        </w:rPr>
        <w:t>The Company purchased shares of its common stock, for a total consideration including commissions but excluding excise tax, under its repurchase programs, as below:</w:t>
      </w:r>
    </w:p>
    <w:tbl>
      <w:tblPr>
        <w:tblLayout w:type="fixed"/>
        <w:tblInd w:w="3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4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6"/>
                <w:szCs w:val="16"/>
                <w:color w:val="auto"/>
              </w:rPr>
            </w:pP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300" w:type="dxa"/>
            <w:vAlign w:val="bottom"/>
            <w:gridSpan w:val="2"/>
          </w:tcPr>
          <w:p>
            <w:pPr>
              <w:jc w:val="right"/>
              <w:ind w:right="11"/>
              <w:spacing w:after="0" w:line="184" w:lineRule="exact"/>
              <w:rPr>
                <w:sz w:val="20"/>
                <w:szCs w:val="20"/>
                <w:color w:val="auto"/>
              </w:rPr>
            </w:pPr>
            <w:r>
              <w:rPr>
                <w:rFonts w:ascii="Times New Roman" w:cs="Times New Roman" w:eastAsia="Times New Roman" w:hAnsi="Times New Roman"/>
                <w:sz w:val="18"/>
                <w:szCs w:val="18"/>
                <w:b w:val="1"/>
                <w:bCs w:val="1"/>
                <w:color w:val="auto"/>
              </w:rPr>
              <w:t>Weighted average purchase</w:t>
            </w:r>
          </w:p>
        </w:tc>
      </w:tr>
      <w:tr>
        <w:trPr>
          <w:trHeight w:val="239"/>
        </w:trPr>
        <w:tc>
          <w:tcPr>
            <w:tcW w:w="564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repurchased</w:t>
            </w: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consideration</w:t>
            </w:r>
          </w:p>
        </w:tc>
        <w:tc>
          <w:tcPr>
            <w:tcW w:w="340" w:type="dxa"/>
            <w:vAlign w:val="bottom"/>
          </w:tcPr>
          <w:p>
            <w:pPr>
              <w:spacing w:after="0"/>
              <w:rPr>
                <w:sz w:val="20"/>
                <w:szCs w:val="20"/>
                <w:color w:val="auto"/>
              </w:rPr>
            </w:pPr>
          </w:p>
        </w:tc>
        <w:tc>
          <w:tcPr>
            <w:tcW w:w="19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price per share</w:t>
            </w:r>
          </w:p>
        </w:tc>
      </w:tr>
      <w:tr>
        <w:trPr>
          <w:trHeight w:val="222"/>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4,375,106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3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175,063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r>
    </w:tbl>
    <w:p>
      <w:pPr>
        <w:spacing w:after="0" w:line="230"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Company’s board of directors designates that these shares be retired or used for other purposes.</w:t>
      </w:r>
    </w:p>
    <w:p>
      <w:pPr>
        <w:spacing w:after="0" w:line="110"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Pursuant to the Inflation Reduction Act, the Company is required to pay a 1% excise tax on the fair market value of each share of common stock repurchased, net of stock issuances. The Company recognized excise tax of $786 and $nil during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158" w:lineRule="exact"/>
        <w:rPr>
          <w:sz w:val="20"/>
          <w:szCs w:val="20"/>
          <w:color w:val="auto"/>
        </w:rPr>
      </w:pPr>
    </w:p>
    <w:p>
      <w:pPr>
        <w:jc w:val="both"/>
        <w:ind w:firstLine="441"/>
        <w:spacing w:after="0" w:line="237" w:lineRule="auto"/>
        <w:rPr>
          <w:sz w:val="20"/>
          <w:szCs w:val="20"/>
          <w:color w:val="auto"/>
        </w:rPr>
      </w:pPr>
      <w:r>
        <w:rPr>
          <w:rFonts w:ascii="Times New Roman" w:cs="Times New Roman" w:eastAsia="Times New Roman" w:hAnsi="Times New Roman"/>
          <w:sz w:val="18"/>
          <w:szCs w:val="18"/>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92"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7"/>
          <w:szCs w:val="17"/>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w:t>
      </w:r>
    </w:p>
    <w:tbl>
      <w:tblPr>
        <w:tblLayout w:type="fixed"/>
        <w:tblInd w:w="0" w:type="dxa"/>
        <w:tblCellMar>
          <w:top w:w="0" w:type="dxa"/>
          <w:left w:w="0" w:type="dxa"/>
          <w:bottom w:w="0" w:type="dxa"/>
          <w:right w:w="0" w:type="dxa"/>
        </w:tblCellMar>
      </w:tblPr>
      <w:tr>
        <w:trPr>
          <w:trHeight w:val="233"/>
        </w:trPr>
        <w:tc>
          <w:tcPr>
            <w:tcW w:w="10000" w:type="dxa"/>
            <w:vAlign w:val="bottom"/>
            <w:gridSpan w:val="3"/>
          </w:tcPr>
          <w:p>
            <w:pPr>
              <w:jc w:val="right"/>
              <w:ind w:right="531"/>
              <w:spacing w:after="0"/>
              <w:rPr>
                <w:sz w:val="20"/>
                <w:szCs w:val="20"/>
                <w:color w:val="auto"/>
              </w:rPr>
            </w:pPr>
            <w:r>
              <w:rPr>
                <w:rFonts w:ascii="Times New Roman" w:cs="Times New Roman" w:eastAsia="Times New Roman" w:hAnsi="Times New Roman"/>
                <w:sz w:val="18"/>
                <w:szCs w:val="18"/>
                <w:color w:val="auto"/>
                <w:w w:val="99"/>
              </w:rPr>
              <w:t>Company expects to earn  a return of approximately 6.5% per annum on the India Plan for the year ending on December 31, 2026.</w:t>
            </w:r>
          </w:p>
        </w:tc>
        <w:tc>
          <w:tcPr>
            <w:tcW w:w="1160" w:type="dxa"/>
            <w:vAlign w:val="bottom"/>
          </w:tcPr>
          <w:p>
            <w:pPr>
              <w:spacing w:after="0"/>
              <w:rPr>
                <w:sz w:val="20"/>
                <w:szCs w:val="20"/>
                <w:color w:val="auto"/>
              </w:rPr>
            </w:pPr>
          </w:p>
        </w:tc>
      </w:tr>
      <w:tr>
        <w:trPr>
          <w:trHeight w:val="168"/>
        </w:trPr>
        <w:tc>
          <w:tcPr>
            <w:tcW w:w="3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7"/>
        </w:trPr>
        <w:tc>
          <w:tcPr>
            <w:tcW w:w="32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7"/>
        </w:trPr>
        <w:tc>
          <w:tcPr>
            <w:tcW w:w="32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as of December 31, 2025</w:t>
            </w:r>
          </w:p>
        </w:tc>
        <w:tc>
          <w:tcPr>
            <w:tcW w:w="86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24,358</w:t>
            </w:r>
          </w:p>
        </w:tc>
      </w:tr>
      <w:tr>
        <w:trPr>
          <w:trHeight w:val="227"/>
        </w:trPr>
        <w:tc>
          <w:tcPr>
            <w:tcW w:w="320" w:type="dxa"/>
            <w:vAlign w:val="bottom"/>
          </w:tcPr>
          <w:p>
            <w:pPr>
              <w:spacing w:after="0"/>
              <w:rPr>
                <w:sz w:val="19"/>
                <w:szCs w:val="19"/>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w:t>
            </w: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7"/>
        </w:trPr>
        <w:tc>
          <w:tcPr>
            <w:tcW w:w="320" w:type="dxa"/>
            <w:vAlign w:val="bottom"/>
          </w:tcPr>
          <w:p>
            <w:pPr>
              <w:spacing w:after="0"/>
              <w:rPr>
                <w:sz w:val="19"/>
                <w:szCs w:val="19"/>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w:t>
            </w:r>
          </w:p>
        </w:tc>
        <w:tc>
          <w:tcPr>
            <w:tcW w:w="8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20" w:type="dxa"/>
            <w:vAlign w:val="bottom"/>
          </w:tcPr>
          <w:p>
            <w:pPr>
              <w:spacing w:after="0"/>
              <w:rPr>
                <w:sz w:val="19"/>
                <w:szCs w:val="19"/>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7"/>
        </w:trPr>
        <w:tc>
          <w:tcPr>
            <w:tcW w:w="320" w:type="dxa"/>
            <w:vAlign w:val="bottom"/>
          </w:tcPr>
          <w:p>
            <w:pPr>
              <w:spacing w:after="0"/>
              <w:rPr>
                <w:sz w:val="19"/>
                <w:szCs w:val="19"/>
                <w:color w:val="auto"/>
              </w:rPr>
            </w:pPr>
          </w:p>
        </w:tc>
        <w:tc>
          <w:tcPr>
            <w:tcW w:w="8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45"/>
        </w:trPr>
        <w:tc>
          <w:tcPr>
            <w:tcW w:w="320" w:type="dxa"/>
            <w:vAlign w:val="bottom"/>
          </w:tcPr>
          <w:p>
            <w:pPr>
              <w:spacing w:after="0"/>
              <w:rPr>
                <w:sz w:val="20"/>
                <w:szCs w:val="20"/>
                <w:color w:val="auto"/>
              </w:rPr>
            </w:pPr>
          </w:p>
        </w:tc>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as of March 31, 2026</w:t>
            </w:r>
          </w:p>
        </w:tc>
        <w:tc>
          <w:tcPr>
            <w:tcW w:w="86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22,973</w:t>
            </w:r>
          </w:p>
        </w:tc>
      </w:tr>
      <w:tr>
        <w:trPr>
          <w:trHeight w:val="20"/>
        </w:trPr>
        <w:tc>
          <w:tcPr>
            <w:tcW w:w="320" w:type="dxa"/>
            <w:vAlign w:val="bottom"/>
          </w:tcPr>
          <w:p>
            <w:pPr>
              <w:spacing w:after="0" w:line="20" w:lineRule="exact"/>
              <w:rPr>
                <w:sz w:val="1"/>
                <w:szCs w:val="1"/>
                <w:color w:val="auto"/>
              </w:rPr>
            </w:pPr>
          </w:p>
        </w:tc>
        <w:tc>
          <w:tcPr>
            <w:tcW w:w="8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2025, the implementation of the new Labor Codes in India resulted in the recognition of prior service cost in OCI. During March 2026, following the implementation of a revised salary structure, the Company performed an updated actuarial valuation and recognized additional prior service cost of $1,177 in OCI. The prior service cost recognized is being amortized over the estimated remaining service period of the defined benefit obligation.</w:t>
      </w:r>
    </w:p>
    <w:p>
      <w:pPr>
        <w:spacing w:after="0" w:line="127" w:lineRule="exact"/>
        <w:rPr>
          <w:sz w:val="20"/>
          <w:szCs w:val="20"/>
          <w:color w:val="auto"/>
        </w:rPr>
      </w:pPr>
    </w:p>
    <w:p>
      <w:pPr>
        <w:jc w:val="both"/>
        <w:ind w:right="20" w:firstLine="401"/>
        <w:spacing w:after="0" w:line="262" w:lineRule="auto"/>
        <w:rPr>
          <w:sz w:val="20"/>
          <w:szCs w:val="20"/>
          <w:color w:val="auto"/>
        </w:rPr>
      </w:pPr>
      <w:r>
        <w:rPr>
          <w:rFonts w:ascii="Times New Roman" w:cs="Times New Roman" w:eastAsia="Times New Roman" w:hAnsi="Times New Roman"/>
          <w:sz w:val="18"/>
          <w:szCs w:val="18"/>
          <w:color w:val="auto"/>
        </w:rPr>
        <w:t>Components of net periodic benefit costs recognized in unaudited consolidated statements of income and retirement benefits reclassified from AOCI, were as follows:</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2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r>
      <w:tr>
        <w:trPr>
          <w:trHeight w:val="220"/>
        </w:trPr>
        <w:tc>
          <w:tcPr>
            <w:tcW w:w="7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r>
      <w:tr>
        <w:trPr>
          <w:trHeight w:val="22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retirement benefits from AOCI:</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7"/>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7"/>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94"/>
        </w:trPr>
        <w:tc>
          <w:tcPr>
            <w:tcW w:w="7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retirement benefits from AOCI, gross of tax</w:t>
            </w:r>
          </w:p>
        </w:tc>
        <w:tc>
          <w:tcPr>
            <w:tcW w:w="120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7"/>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5"/>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retirement benefits from AOCI, net of tax</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401"/>
        <w:spacing w:after="0" w:line="247" w:lineRule="auto"/>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Company’s contributions to various defined contribution plans were as follows:</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4"/>
        </w:trPr>
        <w:tc>
          <w:tcPr>
            <w:tcW w:w="7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the 401(k) Plans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3,018</w:t>
            </w:r>
          </w:p>
        </w:tc>
        <w:tc>
          <w:tcPr>
            <w:tcW w:w="4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3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to the defined contribution plans in foreign subsidiaries of the Company</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8,907</w:t>
            </w:r>
          </w:p>
        </w:tc>
        <w:tc>
          <w:tcPr>
            <w:tcW w:w="4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71" w:lineRule="exact"/>
        <w:rPr>
          <w:sz w:val="20"/>
          <w:szCs w:val="20"/>
          <w:color w:val="auto"/>
        </w:rPr>
      </w:pPr>
    </w:p>
    <w:p>
      <w:pPr>
        <w:jc w:val="both"/>
        <w:ind w:firstLine="401"/>
        <w:spacing w:after="0" w:line="257"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with options to extend or terminate before expiration date. The Company finances its use of certain motor vehicles, leasehold improvements and other equipment under various lease arrangements provided by financial institutions. The lease agreements do not contain any covenants to impose any restrictions except for market-standard practice for similar lease arrangements.</w:t>
      </w:r>
    </w:p>
    <w:p>
      <w:pPr>
        <w:spacing w:after="0" w:line="113" w:lineRule="exact"/>
        <w:rPr>
          <w:sz w:val="20"/>
          <w:szCs w:val="20"/>
          <w:color w:val="auto"/>
        </w:rPr>
      </w:pPr>
    </w:p>
    <w:p>
      <w:pPr>
        <w:jc w:val="both"/>
        <w:ind w:firstLine="401"/>
        <w:spacing w:after="0" w:line="264" w:lineRule="auto"/>
        <w:rPr>
          <w:sz w:val="20"/>
          <w:szCs w:val="20"/>
          <w:color w:val="auto"/>
        </w:rPr>
      </w:pPr>
      <w:r>
        <w:rPr>
          <w:rFonts w:ascii="Times New Roman" w:cs="Times New Roman" w:eastAsia="Times New Roman" w:hAnsi="Times New Roman"/>
          <w:sz w:val="18"/>
          <w:szCs w:val="18"/>
          <w:color w:val="auto"/>
        </w:rPr>
        <w:t xml:space="preserve">The Company had performed an evaluation of its contracts with suppliers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had determined that, except for leases for office facilities, motor vehicles and other equipment as described above, none of the Company’s contracts contain a lease.</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unaudited consolidated statements of income, are as follows:</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7"/>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on underlying ROU assets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0"/>
        </w:trPr>
        <w:tc>
          <w:tcPr>
            <w:tcW w:w="7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7"/>
        </w:trPr>
        <w:tc>
          <w:tcPr>
            <w:tcW w:w="72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Operating lease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0"/>
        </w:trPr>
        <w:tc>
          <w:tcPr>
            <w:tcW w:w="7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4"/>
        </w:trPr>
        <w:tc>
          <w:tcPr>
            <w:tcW w:w="3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320" w:type="dxa"/>
            <w:vAlign w:val="bottom"/>
          </w:tcPr>
          <w:p>
            <w:pPr>
              <w:spacing w:after="0"/>
              <w:rPr>
                <w:sz w:val="19"/>
                <w:szCs w:val="19"/>
                <w:color w:val="auto"/>
              </w:rPr>
            </w:pPr>
          </w:p>
        </w:tc>
        <w:tc>
          <w:tcPr>
            <w:tcW w:w="7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320" w:type="dxa"/>
            <w:vAlign w:val="bottom"/>
          </w:tcPr>
          <w:p>
            <w:pPr>
              <w:spacing w:after="0"/>
              <w:rPr>
                <w:sz w:val="18"/>
                <w:szCs w:val="18"/>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amounts included in the measurement of lease liabilities :</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7"/>
        </w:trPr>
        <w:tc>
          <w:tcPr>
            <w:tcW w:w="3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7"/>
        </w:trPr>
        <w:tc>
          <w:tcPr>
            <w:tcW w:w="3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27"/>
        </w:trPr>
        <w:tc>
          <w:tcPr>
            <w:tcW w:w="3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finance lease liabilities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7"/>
        </w:trPr>
        <w:tc>
          <w:tcPr>
            <w:tcW w:w="3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w:t>
            </w:r>
          </w:p>
        </w:tc>
        <w:tc>
          <w:tcPr>
            <w:tcW w:w="380" w:type="dxa"/>
            <w:vAlign w:val="bottom"/>
          </w:tcPr>
          <w:p>
            <w:pPr>
              <w:spacing w:after="0"/>
              <w:rPr>
                <w:sz w:val="19"/>
                <w:szCs w:val="19"/>
                <w:color w:val="auto"/>
              </w:rPr>
            </w:pPr>
          </w:p>
        </w:tc>
        <w:tc>
          <w:tcPr>
            <w:tcW w:w="1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2.5 years</w:t>
            </w:r>
          </w:p>
        </w:tc>
        <w:tc>
          <w:tcPr>
            <w:tcW w:w="42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 years</w:t>
            </w: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w:t>
            </w: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6.6 years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 years</w:t>
            </w:r>
          </w:p>
        </w:tc>
      </w:tr>
      <w:tr>
        <w:trPr>
          <w:trHeight w:val="227"/>
        </w:trPr>
        <w:tc>
          <w:tcPr>
            <w:tcW w:w="3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7"/>
        </w:trPr>
        <w:tc>
          <w:tcPr>
            <w:tcW w:w="320" w:type="dxa"/>
            <w:vAlign w:val="bottom"/>
          </w:tcPr>
          <w:p>
            <w:pPr>
              <w:spacing w:after="0"/>
              <w:rPr>
                <w:sz w:val="19"/>
                <w:szCs w:val="19"/>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r>
      <w:tr>
        <w:trPr>
          <w:trHeight w:val="233"/>
        </w:trPr>
        <w:tc>
          <w:tcPr>
            <w:tcW w:w="320" w:type="dxa"/>
            <w:vAlign w:val="bottom"/>
          </w:tcPr>
          <w:p>
            <w:pPr>
              <w:spacing w:after="0"/>
              <w:rPr>
                <w:sz w:val="20"/>
                <w:szCs w:val="20"/>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w:t>
            </w:r>
          </w:p>
        </w:tc>
        <w:tc>
          <w:tcPr>
            <w:tcW w:w="38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r>
    </w:tbl>
    <w:p>
      <w:pPr>
        <w:spacing w:after="0" w:line="217" w:lineRule="exact"/>
        <w:rPr>
          <w:sz w:val="20"/>
          <w:szCs w:val="20"/>
          <w:color w:val="auto"/>
        </w:rPr>
      </w:pPr>
    </w:p>
    <w:p>
      <w:pPr>
        <w:jc w:val="both"/>
        <w:ind w:firstLine="441"/>
        <w:spacing w:after="0" w:line="242" w:lineRule="auto"/>
        <w:rPr>
          <w:sz w:val="20"/>
          <w:szCs w:val="20"/>
          <w:color w:val="auto"/>
        </w:rPr>
      </w:pPr>
      <w:r>
        <w:rPr>
          <w:rFonts w:ascii="Times New Roman" w:cs="Times New Roman" w:eastAsia="Times New Roman" w:hAnsi="Times New Roman"/>
          <w:sz w:val="18"/>
          <w:szCs w:val="18"/>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in lease liabilities by $1,336 during the three months ended March 31, 2026 and a decrease by $234 during the three months ended March 31, 2025, respectively, with a corresponding adjustment to ROU assets.</w:t>
      </w:r>
    </w:p>
    <w:p>
      <w:pPr>
        <w:spacing w:after="0" w:line="140" w:lineRule="exact"/>
        <w:rPr>
          <w:sz w:val="20"/>
          <w:szCs w:val="20"/>
          <w:color w:val="auto"/>
        </w:rPr>
      </w:pPr>
    </w:p>
    <w:p>
      <w:pPr>
        <w:jc w:val="both"/>
        <w:ind w:firstLine="441"/>
        <w:spacing w:after="0" w:line="277" w:lineRule="auto"/>
        <w:rPr>
          <w:sz w:val="20"/>
          <w:szCs w:val="20"/>
          <w:color w:val="auto"/>
        </w:rPr>
      </w:pPr>
      <w:r>
        <w:rPr>
          <w:rFonts w:ascii="Times New Roman" w:cs="Times New Roman" w:eastAsia="Times New Roman" w:hAnsi="Times New Roman"/>
          <w:sz w:val="18"/>
          <w:szCs w:val="18"/>
          <w:color w:val="auto"/>
        </w:rPr>
        <w:t>As of March 31, 2026 and December 31, 2025, the Company did not have any significant leases that have not yet commenced but that create significant rights and obligations for the Company.</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March 31, 2026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(April 1 - December 31)</w:t>
            </w:r>
          </w:p>
        </w:tc>
        <w:tc>
          <w:tcPr>
            <w:tcW w:w="34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4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671"/>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6"/>
        </w:trPr>
        <w:tc>
          <w:tcPr>
            <w:tcW w:w="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71"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spacing w:after="0" w:line="110" w:lineRule="exact"/>
        <w:rPr>
          <w:sz w:val="20"/>
          <w:szCs w:val="20"/>
          <w:color w:val="auto"/>
        </w:rPr>
      </w:pPr>
    </w:p>
    <w:p>
      <w:pPr>
        <w:jc w:val="both"/>
        <w:ind w:firstLine="401"/>
        <w:spacing w:after="0" w:line="257"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2026 was 26.6%, an increase from 16.9% for the three months ended March 31, 2025. The Company recorded income tax expense of $24,318 and $13,496 for the three months ended March 31, 2026 and 2025, respectively. The increase in income tax expense for the three months ended March 31, 2026 was primarily a result of lower excess tax benefits related to stock-based compensation and higher profit, partially offset by a decrease in non-deductible compensation expenses, as compared to the three months ended March 31, 2025.</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income taxes recognized in OCI were as follows:</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20" w:type="dxa"/>
            <w:vAlign w:val="bottom"/>
          </w:tcPr>
          <w:p>
            <w:pPr>
              <w:spacing w:after="0"/>
              <w:rPr>
                <w:sz w:val="20"/>
                <w:szCs w:val="20"/>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20"/>
        </w:trPr>
        <w:tc>
          <w:tcPr>
            <w:tcW w:w="7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r>
      <w:tr>
        <w:trPr>
          <w:trHeight w:val="20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 benefit/(expense) recognized on:</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00" w:type="dxa"/>
            <w:vAlign w:val="bottom"/>
          </w:tcPr>
          <w:p>
            <w:pPr>
              <w:spacing w:after="0"/>
              <w:rPr>
                <w:sz w:val="19"/>
                <w:szCs w:val="19"/>
                <w:color w:val="auto"/>
              </w:rPr>
            </w:pPr>
          </w:p>
        </w:tc>
        <w:tc>
          <w:tcPr>
            <w:tcW w:w="122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cash flow hedges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retirement benefits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45"/>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Stock-based compensation expense by function, as below, are included in the unaudited consolidated statements of income:</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120" w:type="dxa"/>
            <w:vAlign w:val="bottom"/>
          </w:tcPr>
          <w:p>
            <w:pPr>
              <w:spacing w:after="0"/>
              <w:rPr>
                <w:sz w:val="20"/>
                <w:szCs w:val="20"/>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r>
      <w:tr>
        <w:trPr>
          <w:trHeight w:val="220"/>
        </w:trPr>
        <w:tc>
          <w:tcPr>
            <w:tcW w:w="7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r>
      <w:tr>
        <w:trPr>
          <w:trHeight w:val="22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r>
      <w:tr>
        <w:trPr>
          <w:trHeight w:val="194"/>
        </w:trPr>
        <w:tc>
          <w:tcPr>
            <w:tcW w:w="71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1"/>
              <w:spacing w:after="0" w:line="194"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22,101</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103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19,187</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1"/>
        </w:trPr>
        <w:tc>
          <w:tcPr>
            <w:tcW w:w="71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Income tax benefit related to stock-based compensation</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r>
    </w:tbl>
    <w:p>
      <w:pPr>
        <w:spacing w:after="0" w:line="302" w:lineRule="exact"/>
        <w:rPr>
          <w:sz w:val="20"/>
          <w:szCs w:val="20"/>
          <w:color w:val="auto"/>
        </w:rPr>
      </w:pPr>
    </w:p>
    <w:p>
      <w:pPr>
        <w:ind w:firstLine="448"/>
        <w:spacing w:after="0" w:line="246" w:lineRule="auto"/>
        <w:tabs>
          <w:tab w:leader="none" w:pos="7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$1,280 and $14,526 during the three months ended March 31, 2026 and 2025, respectively, related to discrete benefits recognized in income tax expense in accordance with ASU No. 2016-09, Compensation - Stock Compensation.</w:t>
      </w:r>
    </w:p>
    <w:p>
      <w:pPr>
        <w:spacing w:after="0" w:line="204"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As of March 31, 2026 and December 31, 2025, the Company had 3,395,894 and 5,919,466 shares, respectively, available for future grants under the 2025 Omnibus Incentive Plan (the “2025 Plan”).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Intrinsic Value</w:t>
            </w:r>
          </w:p>
        </w:tc>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Contractual Life (Years)</w:t>
            </w:r>
          </w:p>
        </w:tc>
        <w:tc>
          <w:tcPr>
            <w:tcW w:w="0" w:type="dxa"/>
            <w:vAlign w:val="bottom"/>
          </w:tcPr>
          <w:p>
            <w:pPr>
              <w:spacing w:after="0"/>
              <w:rPr>
                <w:sz w:val="1"/>
                <w:szCs w:val="1"/>
                <w:color w:val="auto"/>
              </w:rPr>
            </w:pPr>
          </w:p>
        </w:tc>
      </w:tr>
      <w:tr>
        <w:trPr>
          <w:trHeight w:val="254"/>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1,734,720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21,344</w:t>
            </w:r>
          </w:p>
        </w:tc>
        <w:tc>
          <w:tcPr>
            <w:tcW w:w="120" w:type="dxa"/>
            <w:vAlign w:val="bottom"/>
            <w:tcBorders>
              <w:top w:val="single" w:sz="8" w:color="CCEEFF"/>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w w:val="97"/>
              </w:rPr>
              <w:t>7.5</w:t>
            </w:r>
          </w:p>
        </w:tc>
        <w:tc>
          <w:tcPr>
            <w:tcW w:w="0" w:type="dxa"/>
            <w:vAlign w:val="bottom"/>
          </w:tcPr>
          <w:p>
            <w:pPr>
              <w:spacing w:after="0"/>
              <w:rPr>
                <w:sz w:val="1"/>
                <w:szCs w:val="1"/>
                <w:color w:val="auto"/>
              </w:rPr>
            </w:pPr>
          </w:p>
        </w:tc>
      </w:tr>
      <w:tr>
        <w:trPr>
          <w:trHeight w:val="254"/>
        </w:trPr>
        <w:tc>
          <w:tcPr>
            <w:tcW w:w="4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4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4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2"/>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100" w:type="dxa"/>
            <w:vAlign w:val="bottom"/>
            <w:tcBorders>
              <w:top w:val="single" w:sz="8" w:color="auto"/>
              <w:bottom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w w:val="97"/>
              </w:rPr>
              <w:t>7.2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March 31, 2026</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861,740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7"/>
                <w:szCs w:val="17"/>
                <w:color w:val="auto"/>
              </w:rPr>
            </w:pPr>
          </w:p>
        </w:tc>
        <w:tc>
          <w:tcPr>
            <w:tcW w:w="21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7.2</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8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Weighted average grant date fair value of per unit of stock  $</w:t>
            </w:r>
          </w:p>
        </w:tc>
        <w:tc>
          <w:tcPr>
            <w:tcW w:w="1220" w:type="dxa"/>
            <w:vAlign w:val="bottom"/>
            <w:gridSpan w:val="2"/>
            <w:shd w:val="clear" w:color="auto" w:fill="CCEEFF"/>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granted during the period</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2026, unrecognized compensation cost of $6,450 is expected to be expensed over a weighted average period of 1.3 years.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Matching Program</w:t>
      </w:r>
    </w:p>
    <w:p>
      <w:pPr>
        <w:spacing w:after="0" w:line="171"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spacing w:after="0" w:line="124" w:lineRule="exact"/>
        <w:rPr>
          <w:sz w:val="20"/>
          <w:szCs w:val="20"/>
          <w:color w:val="auto"/>
        </w:rPr>
      </w:pPr>
    </w:p>
    <w:p>
      <w:pPr>
        <w:jc w:val="both"/>
        <w:ind w:firstLine="441"/>
        <w:spacing w:after="0" w:line="277" w:lineRule="auto"/>
        <w:rPr>
          <w:sz w:val="20"/>
          <w:szCs w:val="20"/>
          <w:color w:val="auto"/>
        </w:rPr>
      </w:pPr>
      <w:r>
        <w:rPr>
          <w:rFonts w:ascii="Times New Roman" w:cs="Times New Roman" w:eastAsia="Times New Roman" w:hAnsi="Times New Roman"/>
          <w:sz w:val="18"/>
          <w:szCs w:val="18"/>
          <w:color w:val="auto"/>
        </w:rPr>
        <w:t>As of March 31, 2026 and December 31, 2025 restricted stock units vested for which the underlying common stock is yet to be issued are nil and 31,662,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Company’s stock-based compensation plans is shown below:</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0" w:type="dxa"/>
            <w:vAlign w:val="bottom"/>
          </w:tcPr>
          <w:p>
            <w:pPr>
              <w:spacing w:after="0"/>
              <w:rPr>
                <w:sz w:val="1"/>
                <w:szCs w:val="1"/>
                <w:color w:val="auto"/>
              </w:rPr>
            </w:pPr>
          </w:p>
        </w:tc>
      </w:tr>
      <w:tr>
        <w:trPr>
          <w:trHeight w:val="167"/>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4"/>
                <w:szCs w:val="14"/>
                <w:color w:val="auto"/>
              </w:rPr>
            </w:pPr>
          </w:p>
        </w:tc>
        <w:tc>
          <w:tcPr>
            <w:tcW w:w="1600" w:type="dxa"/>
            <w:vAlign w:val="bottom"/>
          </w:tcPr>
          <w:p>
            <w:pPr>
              <w:jc w:val="right"/>
              <w:ind w:right="91"/>
              <w:spacing w:after="0" w:line="167"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91"/>
        </w:trPr>
        <w:tc>
          <w:tcPr>
            <w:tcW w:w="70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720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Outstanding as of December 31, 2025</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27"/>
        </w:trPr>
        <w:tc>
          <w:tcPr>
            <w:tcW w:w="7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27"/>
        </w:trPr>
        <w:tc>
          <w:tcPr>
            <w:tcW w:w="7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0" w:type="dxa"/>
            <w:vAlign w:val="bottom"/>
          </w:tcPr>
          <w:p>
            <w:pPr>
              <w:spacing w:after="0"/>
              <w:rPr>
                <w:sz w:val="1"/>
                <w:szCs w:val="1"/>
                <w:color w:val="auto"/>
              </w:rPr>
            </w:pPr>
          </w:p>
        </w:tc>
      </w:tr>
      <w:tr>
        <w:trPr>
          <w:trHeight w:val="227"/>
        </w:trPr>
        <w:tc>
          <w:tcPr>
            <w:tcW w:w="7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CCEEFF"/>
            </w:tcBorders>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Outstanding as of March 31, 2026</w:t>
            </w:r>
            <w:r>
              <w:rPr>
                <w:rFonts w:ascii="Times New Roman" w:cs="Times New Roman" w:eastAsia="Times New Roman" w:hAnsi="Times New Roman"/>
                <w:sz w:val="23"/>
                <w:szCs w:val="23"/>
                <w:color w:val="auto"/>
                <w:vertAlign w:val="superscript"/>
              </w:rPr>
              <w:t>(1)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408"/>
        <w:spacing w:after="0" w:line="246" w:lineRule="auto"/>
        <w:tabs>
          <w:tab w:leader="none" w:pos="62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of March 31, 2026 and December 31, 2025 restricted stock units vested for which the underlying common stock is yet to be issued are 294,376 and 348,636, respectively.</w:t>
      </w:r>
    </w:p>
    <w:p>
      <w:pPr>
        <w:spacing w:after="0" w:line="137" w:lineRule="exact"/>
        <w:rPr>
          <w:sz w:val="20"/>
          <w:szCs w:val="20"/>
          <w:color w:val="auto"/>
        </w:rPr>
      </w:pPr>
    </w:p>
    <w:p>
      <w:pPr>
        <w:ind w:right="760" w:firstLine="441"/>
        <w:spacing w:after="0" w:line="425" w:lineRule="auto"/>
        <w:rPr>
          <w:sz w:val="20"/>
          <w:szCs w:val="20"/>
          <w:color w:val="auto"/>
        </w:rPr>
      </w:pPr>
      <w:r>
        <w:rPr>
          <w:rFonts w:ascii="Times New Roman" w:cs="Times New Roman" w:eastAsia="Times New Roman" w:hAnsi="Times New Roman"/>
          <w:sz w:val="18"/>
          <w:szCs w:val="18"/>
          <w:color w:val="auto"/>
        </w:rPr>
        <w:t xml:space="preserve">As of March 31, 2026, unrecognized compensation cost of $104,444 is expected to be expensed over a weighted average period of 3.0 years. </w:t>
      </w:r>
      <w:r>
        <w:rPr>
          <w:rFonts w:ascii="Times New Roman" w:cs="Times New Roman" w:eastAsia="Times New Roman" w:hAnsi="Times New Roman"/>
          <w:sz w:val="18"/>
          <w:szCs w:val="18"/>
          <w:b w:val="1"/>
          <w:bCs w:val="1"/>
          <w:color w:val="auto"/>
        </w:rPr>
        <w:t>Performance-Based Stock Awards</w:t>
      </w:r>
    </w:p>
    <w:p>
      <w:pPr>
        <w:spacing w:after="0" w:line="2"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18"/>
          <w:szCs w:val="18"/>
          <w:color w:val="auto"/>
        </w:rPr>
        <w:t>Under the Company’s equity incentive plans, the Company grants performance-based restricted stock units (“PRSUs”) to executive officers and other specified employees. The Company generally grants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meeting a total shareholder return relative to a group of peer companies specified under PRSU agreements, and are measured over a three-year performance period (“MU”).</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PRSU activity under the Company’s stock plans is shown below:</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4280" w:type="dxa"/>
            <w:vAlign w:val="bottom"/>
          </w:tcPr>
          <w:p>
            <w:pPr>
              <w:spacing w:after="0"/>
              <w:rPr>
                <w:sz w:val="20"/>
                <w:szCs w:val="20"/>
                <w:color w:val="auto"/>
              </w:rPr>
            </w:pPr>
          </w:p>
        </w:tc>
        <w:tc>
          <w:tcPr>
            <w:tcW w:w="332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Revenue Based PRSUs</w:t>
            </w:r>
          </w:p>
        </w:tc>
        <w:tc>
          <w:tcPr>
            <w:tcW w:w="3240" w:type="dxa"/>
            <w:vAlign w:val="bottom"/>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Market Condition Based PRSUs</w:t>
            </w:r>
          </w:p>
        </w:tc>
        <w:tc>
          <w:tcPr>
            <w:tcW w:w="0" w:type="dxa"/>
            <w:vAlign w:val="bottom"/>
          </w:tcPr>
          <w:p>
            <w:pPr>
              <w:spacing w:after="0"/>
              <w:rPr>
                <w:sz w:val="1"/>
                <w:szCs w:val="1"/>
                <w:color w:val="auto"/>
              </w:rPr>
            </w:pPr>
          </w:p>
        </w:tc>
      </w:tr>
      <w:tr>
        <w:trPr>
          <w:trHeight w:val="167"/>
        </w:trPr>
        <w:tc>
          <w:tcPr>
            <w:tcW w:w="4280" w:type="dxa"/>
            <w:vAlign w:val="bottom"/>
          </w:tcPr>
          <w:p>
            <w:pPr>
              <w:spacing w:after="0"/>
              <w:rPr>
                <w:sz w:val="14"/>
                <w:szCs w:val="14"/>
                <w:color w:val="auto"/>
              </w:rPr>
            </w:pPr>
          </w:p>
        </w:tc>
        <w:tc>
          <w:tcPr>
            <w:tcW w:w="140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ind w:right="71"/>
              <w:spacing w:after="0" w:line="167"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42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131"/>
              <w:spacing w:after="0" w:line="167"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(5,918)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0" w:type="dxa"/>
            <w:vAlign w:val="bottom"/>
          </w:tcPr>
          <w:p>
            <w:pPr>
              <w:spacing w:after="0"/>
              <w:rPr>
                <w:sz w:val="1"/>
                <w:szCs w:val="1"/>
                <w:color w:val="auto"/>
              </w:rPr>
            </w:pPr>
          </w:p>
        </w:tc>
      </w:tr>
      <w:tr>
        <w:trPr>
          <w:trHeight w:val="24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880" w:firstLine="401"/>
        <w:spacing w:after="0" w:line="433" w:lineRule="auto"/>
        <w:rPr>
          <w:sz w:val="20"/>
          <w:szCs w:val="20"/>
          <w:color w:val="auto"/>
        </w:rPr>
      </w:pPr>
      <w:r>
        <w:rPr>
          <w:rFonts w:ascii="Times New Roman" w:cs="Times New Roman" w:eastAsia="Times New Roman" w:hAnsi="Times New Roman"/>
          <w:sz w:val="18"/>
          <w:szCs w:val="18"/>
          <w:color w:val="auto"/>
        </w:rPr>
        <w:t xml:space="preserve">As of March 31, 2026, unrecognized compensation cost of $74,470 is expected to be expensed over a weighted average period of 2.1 years. </w:t>
      </w:r>
      <w:r>
        <w:rPr>
          <w:rFonts w:ascii="Times New Roman" w:cs="Times New Roman" w:eastAsia="Times New Roman" w:hAnsi="Times New Roman"/>
          <w:sz w:val="18"/>
          <w:szCs w:val="18"/>
          <w:b w:val="1"/>
          <w:bCs w:val="1"/>
          <w:color w:val="auto"/>
        </w:rPr>
        <w:t>Employee Stock Purchase Plan</w:t>
      </w:r>
    </w:p>
    <w:p>
      <w:pPr>
        <w:spacing w:after="0" w:line="1"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On June 21, 2022, at the annual meeting of stockholders of the Company, the Company’s stockholders approved the ExlService Holdings, Inc. 2022 Employee Stock Purchase Plan (the “2022 ESPP”).</w:t>
      </w:r>
    </w:p>
    <w:p>
      <w:pPr>
        <w:spacing w:after="0" w:line="110"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eighth offering period under the 2022 ESPP commenced on January 1, 2026 with a term of six months.</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6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Activity under the Company’s 2022 ESPP is shown below:</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920" w:type="dxa"/>
            <w:vAlign w:val="bottom"/>
          </w:tcPr>
          <w:p>
            <w:pPr>
              <w:spacing w:after="0"/>
              <w:rPr>
                <w:sz w:val="14"/>
                <w:szCs w:val="14"/>
                <w:color w:val="auto"/>
              </w:rPr>
            </w:pPr>
          </w:p>
        </w:tc>
        <w:tc>
          <w:tcPr>
            <w:tcW w:w="174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231"/>
              <w:spacing w:after="0" w:line="167" w:lineRule="exact"/>
              <w:rPr>
                <w:sz w:val="20"/>
                <w:szCs w:val="20"/>
                <w:color w:val="auto"/>
              </w:rPr>
            </w:pPr>
            <w:r>
              <w:rPr>
                <w:rFonts w:ascii="Times New Roman" w:cs="Times New Roman" w:eastAsia="Times New Roman" w:hAnsi="Times New Roman"/>
                <w:sz w:val="18"/>
                <w:szCs w:val="18"/>
                <w:b w:val="1"/>
                <w:bCs w:val="1"/>
                <w:color w:val="auto"/>
              </w:rPr>
              <w:t>Total Proceeds</w:t>
            </w:r>
          </w:p>
        </w:tc>
        <w:tc>
          <w:tcPr>
            <w:tcW w:w="0" w:type="dxa"/>
            <w:vAlign w:val="bottom"/>
          </w:tcPr>
          <w:p>
            <w:pPr>
              <w:spacing w:after="0"/>
              <w:rPr>
                <w:sz w:val="1"/>
                <w:szCs w:val="1"/>
                <w:color w:val="auto"/>
              </w:rPr>
            </w:pPr>
          </w:p>
        </w:tc>
      </w:tr>
      <w:tr>
        <w:trPr>
          <w:trHeight w:val="240"/>
        </w:trPr>
        <w:tc>
          <w:tcPr>
            <w:tcW w:w="69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0" w:type="dxa"/>
            <w:vAlign w:val="bottom"/>
          </w:tcPr>
          <w:p>
            <w:pPr>
              <w:spacing w:after="0"/>
              <w:rPr>
                <w:sz w:val="1"/>
                <w:szCs w:val="1"/>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December 31, 2025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3,510,269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made during the seventh offering period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60,139</w:t>
            </w:r>
          </w:p>
        </w:tc>
        <w:tc>
          <w:tcPr>
            <w:tcW w:w="3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March 31,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3,450,130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received for the eighth offering period up to March 31, 2026</w:t>
            </w:r>
          </w:p>
        </w:tc>
        <w:tc>
          <w:tcPr>
            <w:tcW w:w="17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Disclosures</w:t>
      </w:r>
    </w:p>
    <w:p>
      <w:pPr>
        <w:spacing w:after="0" w:line="15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provides data and AI-led solutions and services to Corridor Platforms, Inc., which is an equity affiliate of the Company. The Company recognized revenues, net of $84 and $42 during the three months ended March 31, 2026 and 2025, respectively. The Company had outstanding accounts receivable, net of $28 related to this service contract as of March 31, 2026 and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Commitments and Contingencies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171" w:lineRule="exact"/>
        <w:rPr>
          <w:sz w:val="20"/>
          <w:szCs w:val="20"/>
          <w:color w:val="auto"/>
        </w:rPr>
      </w:pPr>
    </w:p>
    <w:p>
      <w:pPr>
        <w:jc w:val="both"/>
        <w:ind w:right="20" w:firstLine="441"/>
        <w:spacing w:after="0" w:line="277" w:lineRule="auto"/>
        <w:rPr>
          <w:sz w:val="20"/>
          <w:szCs w:val="20"/>
          <w:color w:val="auto"/>
        </w:rPr>
      </w:pPr>
      <w:r>
        <w:rPr>
          <w:rFonts w:ascii="Times New Roman" w:cs="Times New Roman" w:eastAsia="Times New Roman" w:hAnsi="Times New Roman"/>
          <w:sz w:val="18"/>
          <w:szCs w:val="18"/>
          <w:color w:val="auto"/>
        </w:rPr>
        <w:t>As of March 31, 2026 and December 31, 2025, the Company had committed to spend approximately $10,000 and $8,700, respectively, net of capital advances, under agreements to purchase property and equipment.</w:t>
      </w:r>
    </w:p>
    <w:p>
      <w:pPr>
        <w:spacing w:after="0" w:line="110" w:lineRule="exact"/>
        <w:rPr>
          <w:sz w:val="20"/>
          <w:szCs w:val="20"/>
          <w:color w:val="auto"/>
        </w:rPr>
      </w:pPr>
    </w:p>
    <w:p>
      <w:pPr>
        <w:jc w:val="both"/>
        <w:ind w:firstLine="441"/>
        <w:spacing w:after="0" w:line="277" w:lineRule="auto"/>
        <w:rPr>
          <w:sz w:val="20"/>
          <w:szCs w:val="20"/>
          <w:color w:val="auto"/>
        </w:rPr>
      </w:pPr>
      <w:r>
        <w:rPr>
          <w:rFonts w:ascii="Times New Roman" w:cs="Times New Roman" w:eastAsia="Times New Roman" w:hAnsi="Times New Roman"/>
          <w:sz w:val="18"/>
          <w:szCs w:val="18"/>
          <w:color w:val="auto"/>
        </w:rPr>
        <w:t>On June 15, 2023, the Company, along with other limited partners, entered into a limited partnership agreement with the general partner, PNP Financial Services Fund GP I, LLC and initial limited partner and outgoing partner, to form a partnership</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with the name Plug and Play Financial Services Fund I, L.P. (the “Partnership”) for the primary purpose of making investments in growth-stage technology companies. The Company committed to make an aggregate investment of $4,000 in the Partnership. As of March 31, 2026, the Company has invested $2,400 in the Partnership and is committed to make further investments up to an amount of $1,600.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58" w:lineRule="exact"/>
        <w:rPr>
          <w:sz w:val="20"/>
          <w:szCs w:val="20"/>
          <w:color w:val="auto"/>
        </w:rPr>
      </w:pPr>
    </w:p>
    <w:p>
      <w:pPr>
        <w:jc w:val="both"/>
        <w:ind w:firstLine="441"/>
        <w:spacing w:after="0" w:line="239"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212" w:lineRule="exact"/>
        <w:rPr>
          <w:sz w:val="20"/>
          <w:szCs w:val="20"/>
          <w:color w:val="auto"/>
        </w:rPr>
      </w:pPr>
    </w:p>
    <w:p>
      <w:pPr>
        <w:jc w:val="both"/>
        <w:ind w:firstLine="441"/>
        <w:spacing w:after="0" w:line="239" w:lineRule="auto"/>
        <w:rPr>
          <w:sz w:val="20"/>
          <w:szCs w:val="20"/>
          <w:color w:val="auto"/>
        </w:rPr>
      </w:pPr>
      <w:r>
        <w:rPr>
          <w:rFonts w:ascii="Times New Roman" w:cs="Times New Roman" w:eastAsia="Times New Roman" w:hAnsi="Times New Roman"/>
          <w:sz w:val="18"/>
          <w:szCs w:val="18"/>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1"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1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Company is currently involved in transfer pricing and related income tax disputes with Indian tax authorities. The aggregate amount demanded by Indian tax authorities (net of advance payments) as of March 31, 2026 and December 31, 2025 is $44,429 and $42,205, respectively. The Company has made payments and/or provided bank guarantees against these demands in the amounts of $7,282 and $7,684, as of March 31, 2026 and December 31, 2025,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116" w:lineRule="exact"/>
        <w:rPr>
          <w:sz w:val="20"/>
          <w:szCs w:val="20"/>
          <w:color w:val="auto"/>
        </w:rPr>
      </w:pPr>
    </w:p>
    <w:p>
      <w:pPr>
        <w:jc w:val="both"/>
        <w:ind w:firstLine="441"/>
        <w:spacing w:after="0" w:line="239" w:lineRule="auto"/>
        <w:rPr>
          <w:sz w:val="20"/>
          <w:szCs w:val="20"/>
          <w:color w:val="auto"/>
        </w:rPr>
      </w:pPr>
      <w:r>
        <w:rPr>
          <w:rFonts w:ascii="Times New Roman" w:cs="Times New Roman" w:eastAsia="Times New Roman" w:hAnsi="Times New Roman"/>
          <w:sz w:val="18"/>
          <w:szCs w:val="18"/>
          <w:color w:val="auto"/>
        </w:rPr>
        <w:t>Pursuant to reviewing the Company’s annual VAT and service tax filings, the Indian tax authorities raised aggregate demands for tax years 2015 and 2017, in the amounts of $4,915 and $5,186, as of March 31, 2026 and December 31, 2025, respectively. The Company has made payments and/or provided bank guarantees against these demands in the amounts of $4,823 and $5,090, as of March 31, 2026 and December 31, 2025, respectively. The Company has filed appeals against these matters and believes that it is more likely than not that upon final examination its position will be sustained based on technical merits.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Indian Goods and Services Tax (“GST”) authorities rejected the Company’s refund claims in the amounts of $5,207 and $5,494 as of March 31,</w:t>
      </w:r>
    </w:p>
    <w:p>
      <w:pPr>
        <w:spacing w:after="0" w:line="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2026 and December 31, 2025, respectively. The Company has filed appeals against these matters and believes that it is more likely than not that upon final examination its position will be sustained based on its technical merits. Accordingly, no allowances were recorded against these GST receivables as of March 31, 2026 and December 31, 2025, respectively.</w:t>
      </w:r>
    </w:p>
    <w:p>
      <w:pPr>
        <w:spacing w:after="0" w:line="211" w:lineRule="exact"/>
        <w:rPr>
          <w:sz w:val="20"/>
          <w:szCs w:val="20"/>
          <w:color w:val="auto"/>
        </w:rPr>
      </w:pPr>
    </w:p>
    <w:p>
      <w:pPr>
        <w:jc w:val="both"/>
        <w:ind w:firstLine="441"/>
        <w:spacing w:after="0" w:line="235" w:lineRule="auto"/>
        <w:rPr>
          <w:sz w:val="20"/>
          <w:szCs w:val="20"/>
          <w:color w:val="auto"/>
        </w:rPr>
      </w:pPr>
      <w:r>
        <w:rPr>
          <w:rFonts w:ascii="Times New Roman" w:cs="Times New Roman" w:eastAsia="Times New Roman" w:hAnsi="Times New Roman"/>
          <w:sz w:val="18"/>
          <w:szCs w:val="18"/>
          <w:color w:val="auto"/>
        </w:rPr>
        <w:t>Some of the Company’s subsidiaries in India have undergone assessments with the statutory authority with respect to defined contribution plan. Except for some components of the assessments for which the Company has recognized a provision in the unaudited consolidated financial statements, the Company believes that the amount demanded by such authority is not a meaningful indicator of the potential liabilities of the Company, and that these matters are without merit. The Company is defending against the assessment orders and in one case,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spacing w:after="0" w:line="1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6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2025. Some of the statements in the following discussion are forward 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1"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133" w:lineRule="exact"/>
        <w:rPr>
          <w:sz w:val="20"/>
          <w:szCs w:val="20"/>
          <w:color w:val="auto"/>
        </w:rPr>
      </w:pPr>
    </w:p>
    <w:p>
      <w:pPr>
        <w:ind w:left="640" w:hanging="313"/>
        <w:spacing w:after="0" w:line="27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client demand for our services and solutions, including anticipating and incorporating the latest technologies, for instance, artificial intelligence (“AI”), including generative AI, agentic AI into our offerings;</w:t>
      </w:r>
    </w:p>
    <w:p>
      <w:pPr>
        <w:spacing w:after="0" w:line="10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AI technology presents competitive, operational, reputational and legal risks, and our use of AI technology may not be successful;</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client demand by the selling cycle and terms of our client contracts; including for our AI-related offerings;</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enough sufficiently trained employees to support our operations or any changes in the senior management team;</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costs;</w:t>
      </w:r>
    </w:p>
    <w:p>
      <w:pPr>
        <w:spacing w:after="0" w:line="167"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pricing terms or effectively manage our asset utilization levels to meet the changing demands of our clients and potential clients;</w:t>
      </w:r>
    </w:p>
    <w:p>
      <w:pPr>
        <w:spacing w:after="0" w:line="109"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additional cybersecurity and privacy risks from growing use of AI, or other unauthorized disclosure of sensitive or confidential client and employee data;</w:t>
      </w:r>
    </w:p>
    <w:p>
      <w:pPr>
        <w:spacing w:after="0" w:line="109"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deliver services and infrastructure for client critical services, and on third party data use rights for certain of our offerings;</w:t>
      </w:r>
    </w:p>
    <w:p>
      <w:pPr>
        <w:spacing w:after="0" w:line="10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wage increases;</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and our ability to withstand the loss of a significant client;</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infrastructure and personnel growth across countries, including losing key talent to competitors;</w:t>
      </w:r>
    </w:p>
    <w:p>
      <w:pPr>
        <w:spacing w:after="0" w:line="167"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 including the impact from the impairment of goodwill and other intangible assets, if any;</w:t>
      </w:r>
    </w:p>
    <w:p>
      <w:pPr>
        <w:spacing w:after="0" w:line="10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and third party contracts;</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 including from other providers and from internal resources of our clients;</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estimates and assumptions in connection with the preparation of our consolidated financial statements;</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upgrading our enterprise resource planning system;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fluctuations in the market values of our investment and derivatives portfolios;</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 or breaches, natural or other disasters, medical epidemics or pandemics, or acts of violence or war;</w:t>
      </w:r>
    </w:p>
    <w:p>
      <w:pPr>
        <w:spacing w:after="0" w:line="167" w:lineRule="exact"/>
        <w:rPr>
          <w:rFonts w:ascii="Times New Roman" w:cs="Times New Roman" w:eastAsia="Times New Roman" w:hAnsi="Times New Roman"/>
          <w:sz w:val="18"/>
          <w:szCs w:val="18"/>
          <w:color w:val="auto"/>
        </w:rPr>
      </w:pPr>
    </w:p>
    <w:p>
      <w:pPr>
        <w:ind w:left="640" w:hanging="313"/>
        <w:spacing w:after="0" w:line="276"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challenges by applicable tax authorities to transfer pricing determinations or the introduction of new or unfavorable tax legislation, tariffs, including legal restrictions on repatriation of funds held abroad;</w:t>
      </w:r>
    </w:p>
    <w:p>
      <w:pPr>
        <w:spacing w:after="0" w:line="110"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exchange rate fluctuations in the various currencies in which we do business including rising inflation, high interest rates and economic recessionary trends on currency exchange rates;</w:t>
      </w:r>
    </w:p>
    <w:p>
      <w:pPr>
        <w:spacing w:after="0" w:line="10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 and work permits;</w:t>
      </w:r>
    </w:p>
    <w:p>
      <w:pPr>
        <w:spacing w:after="0" w:line="167"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our ability to adhere to regulations or accreditation or licensing standards that govern our business;</w:t>
      </w:r>
    </w:p>
    <w:p>
      <w:pPr>
        <w:spacing w:after="0" w:line="109"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debt or obtain additional financing on competitive terms, or exposure to interest rate fluctuations that are not fully hedged through interest rate swaps; and</w:t>
      </w:r>
    </w:p>
    <w:p>
      <w:pPr>
        <w:spacing w:after="0" w:line="10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United States or elsewhere to offshore outsourcing;</w:t>
      </w:r>
    </w:p>
    <w:p>
      <w:pPr>
        <w:spacing w:after="0" w:line="167" w:lineRule="exact"/>
        <w:rPr>
          <w:sz w:val="20"/>
          <w:szCs w:val="20"/>
          <w:color w:val="auto"/>
        </w:rPr>
      </w:pPr>
    </w:p>
    <w:p>
      <w:pPr>
        <w:jc w:val="both"/>
        <w:ind w:firstLine="441"/>
        <w:spacing w:after="0" w:line="277"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2025. These and other risks could cause actual results to differ materially from those implied by forward-looking statements in this Quarterly Report on Form 10-Q.</w:t>
      </w:r>
    </w:p>
    <w:p>
      <w:pPr>
        <w:spacing w:after="0" w:line="110"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jc w:val="both"/>
        <w:ind w:firstLine="401"/>
        <w:spacing w:after="0" w:line="257" w:lineRule="auto"/>
        <w:rPr>
          <w:sz w:val="20"/>
          <w:szCs w:val="20"/>
          <w:color w:val="auto"/>
        </w:rPr>
      </w:pPr>
      <w:r>
        <w:rPr>
          <w:rFonts w:ascii="Times New Roman" w:cs="Times New Roman" w:eastAsia="Times New Roman" w:hAnsi="Times New Roman"/>
          <w:sz w:val="18"/>
          <w:szCs w:val="18"/>
          <w:color w:val="auto"/>
        </w:rPr>
        <w:t>We are a global data and artificial intelligence (“AI”) company that offers services and solutions to reinvent client business models, drive better outcomes and unlock growth with speed. We harness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spacing w:after="0" w:line="129"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One of our key assets is our global delivery network, which includes highly trained industry and process specialists across the United States, the United Kingdom, Latin America, South Africa, Europe and Asia (primarily India and the Philippines). We have operations centers in India, the United States, the Philippines, South Africa, Colombia, Bulgaria, Romania, the United Kingdom, the Czech Republic, Mexico and the Republic of Ireland.</w:t>
      </w:r>
    </w:p>
    <w:p>
      <w:pPr>
        <w:spacing w:after="0" w:line="124"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We manage and report financial information through four reportable segments, aligned to our Industry Market Units (“IMUs”): Insurance, Healthcare and Life Sciences, Banking, Capital Markets and Diversified Industries, and International Growth Markets, which reflects the manner in which our management reviews financial information and makes operating decisions.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1"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For the three months ended March 31, 2026, we generated revenues of $570.4 million compared to revenues of $501.0 million for the three months ended March 31, 2025, an increase of $69.4 million, or 13.8%.</w:t>
      </w:r>
    </w:p>
    <w:p>
      <w:pPr>
        <w:spacing w:after="0" w:line="110"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We serve clients mainly in North America, and the United Kingdom &amp; Europe, with these two regions generating 83.0% and 14.5%, respectively, of our total revenues for the three months ended March 31, 2026 and 82.9% and 15.1%, respectively, of our total revenues for the three months ended March 31, 2025.</w:t>
      </w:r>
    </w:p>
    <w:p>
      <w:pPr>
        <w:spacing w:after="0" w:line="124"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For the three months ended March 31, 2026 and 2025, our total revenues from our top ten clients accounted for 34.6% and 33.7% of our total revenues, respectively. Although we continue to develop relationships with new clients to diversify our client base, we believe that the loss of any of our top ten clients could have a material adverse effect on our financial performance.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51"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We provide data and AI-led solutions and services and digital operations solutions and services to our clients. We market and sell our solutions and services to existing and prospective clients through our sales and client management teams, which are aligned by our IMUs. Our sales and client management teams operate primarily from the United States, India, the United Kingdom, Ireland and Australia.</w:t>
      </w:r>
    </w:p>
    <w:p>
      <w:pPr>
        <w:spacing w:after="0" w:line="186" w:lineRule="exact"/>
        <w:rPr>
          <w:sz w:val="20"/>
          <w:szCs w:val="20"/>
          <w:color w:val="auto"/>
        </w:rPr>
      </w:pPr>
    </w:p>
    <w:p>
      <w:pPr>
        <w:jc w:val="both"/>
        <w:ind w:firstLine="401"/>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Data and AI-led: </w:t>
      </w:r>
      <w:r>
        <w:rPr>
          <w:rFonts w:ascii="Times New Roman" w:cs="Times New Roman" w:eastAsia="Times New Roman" w:hAnsi="Times New Roman"/>
          <w:sz w:val="18"/>
          <w:szCs w:val="18"/>
          <w:color w:val="auto"/>
        </w:rPr>
        <w:t>Data and AI-led revenue is derived from our Data Management, Analytics, AI services and solutions businesses. It includes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fully integrated business operations like payment integrity services and platform-based solutions and services, which combine operations, technology, data, analytics, and AI. It also includes revenue from operations that embed data and AI within clients’ operational workflows.</w:t>
      </w:r>
    </w:p>
    <w:p>
      <w:pPr>
        <w:spacing w:after="0" w:line="197" w:lineRule="exact"/>
        <w:rPr>
          <w:sz w:val="20"/>
          <w:szCs w:val="20"/>
          <w:color w:val="auto"/>
        </w:rPr>
      </w:pPr>
    </w:p>
    <w:p>
      <w:pPr>
        <w:jc w:val="both"/>
        <w:ind w:firstLine="401"/>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Digital operations: </w:t>
      </w:r>
      <w:r>
        <w:rPr>
          <w:rFonts w:ascii="Times New Roman" w:cs="Times New Roman" w:eastAsia="Times New Roman" w:hAnsi="Times New Roman"/>
          <w:sz w:val="18"/>
          <w:szCs w:val="18"/>
          <w:color w:val="auto"/>
        </w:rPr>
        <w:t>Digital operations revenue is derived from managed services that blend our deep domain expertise with industry-specific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services to operate clients’ business functions with enhanced productivity, greater speed and improved accuracy. These digital operations deployments form the foundation for future client transformation opportunities to infuse AI into client workflows and unlock even greater value.</w:t>
      </w:r>
    </w:p>
    <w:p>
      <w:pPr>
        <w:spacing w:after="0" w:line="215"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Our reportable segments, aligned to our IMUs, which provide data and AI-led solutions and services and digital operations solutions and services, are described below:</w:t>
      </w:r>
    </w:p>
    <w:p>
      <w:pPr>
        <w:spacing w:after="0" w:line="186"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We serve insurance brokers, reinsurers, and insurtech companies and provide services to insurers in the areas of property and casualty,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annuity, and retirement services.</w:t>
      </w:r>
    </w:p>
    <w:p>
      <w:pPr>
        <w:spacing w:after="0" w:line="185"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Our offerings include claims management, premium and benefit administration, agency management, account reconciliation, actuarial and risk analytics, policy research, digital marketing, new business acquisition, underwriting support, policy servicing, premium audit, surveys, billing and collection, commercial and residential survey, finance and accounting, and customer service using digital technology, AI, including agentic AI, generative AI, machine learning (“ML”) and advanced automation. We also combine our cloud-first digital insurance software solutions and industry expertise with agentic AI, generative AI, machine learning, advanced analytics, and platforms. This includes our Insurance Large Language Model (“LLM”), a specialized generative AI platform for claims, underwriting and subrogation, developed leveraging our deep experience and proprietary data in the insurance industry. Additionally, we provide third-party administration for life and annuity insurance through our LifePRO® and Life Digital Suite SaaS platforms and also offer subrogation services to property and casualty insurers using our Subrosource® BPaaS platform.</w:t>
      </w:r>
    </w:p>
    <w:p>
      <w:pPr>
        <w:spacing w:after="0" w:line="208" w:lineRule="exact"/>
        <w:rPr>
          <w:sz w:val="20"/>
          <w:szCs w:val="20"/>
          <w:color w:val="auto"/>
        </w:rPr>
      </w:pPr>
    </w:p>
    <w:p>
      <w:pPr>
        <w:jc w:val="both"/>
        <w:ind w:firstLine="40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Healthcare and Life Sciences: </w:t>
      </w:r>
      <w:r>
        <w:rPr>
          <w:rFonts w:ascii="Times New Roman" w:cs="Times New Roman" w:eastAsia="Times New Roman" w:hAnsi="Times New Roman"/>
          <w:sz w:val="18"/>
          <w:szCs w:val="18"/>
          <w:color w:val="auto"/>
        </w:rPr>
        <w:t>We serve U.S.-based healthcare payers, providers, pharmacy benefit managers (“PBMs”), and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by combining deep healthcare and life sciences domain expertise with data, analytics and AI-led insights and technology-enabled services that transform how care is delivered, managed and paid.</w:t>
      </w:r>
    </w:p>
    <w:p>
      <w:pPr>
        <w:spacing w:after="0" w:line="200"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We provide care management, utilization management, disease management, payment integrity, revenue optimization and customer engagement, commercial analytics and regulatory support services to improve healthcare outcomes, enhanced patient and provider experience, optimized healthcare spending and streamline healthcare administration processes by simplifying complex workflows.</w:t>
      </w:r>
    </w:p>
    <w:p>
      <w:pPr>
        <w:spacing w:after="0" w:line="204"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For healthcare payers, we offer payment integrity services, pre and post-pay auditing services, payment analytics, subrogation and claims recovery, care management and patient navigation solutions. For healthcare providers, we offer revenue cycle management, digital transformation, data-driven analytics and contact center solutions. For PBMs, we provide digital transformation, data and analytics and call center modernization. Our life sciences offerings combine domain expertise, data engineering, AI-driven insight generation, and digital operations to deliver outcomes across commercial, clinical, regulatory, and patient support functions. We leverage AI, analytics, and cloud-based solutions to enhance value-based care, optimize claims, and ensure regulatory compliance.</w:t>
      </w:r>
    </w:p>
    <w:p>
      <w:pPr>
        <w:spacing w:after="0" w:line="210" w:lineRule="exact"/>
        <w:rPr>
          <w:sz w:val="20"/>
          <w:szCs w:val="20"/>
          <w:color w:val="auto"/>
        </w:rPr>
      </w:pPr>
    </w:p>
    <w:p>
      <w:pPr>
        <w:jc w:val="both"/>
        <w:ind w:firstLine="40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Banking, Capital Markets, and Diversified Industries: </w:t>
      </w:r>
      <w:r>
        <w:rPr>
          <w:rFonts w:ascii="Times New Roman" w:cs="Times New Roman" w:eastAsia="Times New Roman" w:hAnsi="Times New Roman"/>
          <w:sz w:val="18"/>
          <w:szCs w:val="18"/>
          <w:color w:val="auto"/>
        </w:rPr>
        <w:t>Our Banking and Capital Markets and Diversified Industries group delivers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across retail and commercial banking, credit card and payment services, fintech, wealth and retirement services, capital markets, utilities, retail and consumer packaged goods, communications, media and entertainment, travel and leisure, transportation and logistics, infrastructure and other business services industries.</w:t>
      </w:r>
    </w:p>
    <w:p>
      <w:pPr>
        <w:spacing w:after="0" w:line="206"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By integrating deep domain expertise with AI-driven decision-making, we enable financial institutions to innovate, enhance operational agility, and adapt to evolving market demands. We provide risk management solutions, marketing and customer analytics solutions to our clients, along with our integrated operations services that encompass the full range of banking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operations, including digital lending solutions that improve underwriting and compliance, omni-channel marketing, digital onboarding, know your customer (“KYC”)/anti-money laundering (“AML”) compliance, collections, fraud prevention, and customer servicing, among others. Our industry-leading AI and automation-driven service offerings drive operational efficiency and foster innovation across the financial services and other industries.</w:t>
      </w:r>
    </w:p>
    <w:p>
      <w:pPr>
        <w:spacing w:after="0" w:line="204"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Our enterprise services and solutions include domain-specific operations, integrated finance and accounting services, customer experience management, back-office operations, and revenue enhancement, such as pricing and billing, enabling our clients to deliver enhanced operational efficiency, and high-quality customer experiences. For example, in the retail and consumer packaged goods sectors, we enable advanced supply chain performance through AI-driven analytics services supporting smarter merchandising, dynamic pricing, and accurate demand forecasting and for our clients in the utilities sector, we offer AI-enabled operations and solutions related to end-to-end customer life cycle management, including onboarding and terminations, engineering field operations, billing, and debt management.</w:t>
      </w:r>
    </w:p>
    <w:p>
      <w:pPr>
        <w:spacing w:after="0" w:line="210"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International Growth Markets: </w:t>
      </w:r>
      <w:r>
        <w:rPr>
          <w:rFonts w:ascii="Times New Roman" w:cs="Times New Roman" w:eastAsia="Times New Roman" w:hAnsi="Times New Roman"/>
          <w:sz w:val="18"/>
          <w:szCs w:val="18"/>
          <w:color w:val="auto"/>
        </w:rPr>
        <w:t>Our International Growth Markets (“IGM”) IMU is focused on strengthening our global footprint outside of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We ensure customized delivery while leveraging EXL’s global capabilities in data, AI, and digital operations to drive differentiated business outcomes for our clients in growth markets. This provides us with opportunities to leverage our investments, experience, and expertise from the North America market to expand our global client base, drive further growth, and bring us closer to our clients and partners across the world. IGM consists of dedicated teams servicing clients and localizing our global capabilities in insurance, life sciences, banking and capital markets, energy and infrastructure, retail, consumer goods, and travel industries in growth markets. Across all regions in which we operate, we combine deep domain experience with our data and AI expertise to help clients innovate, enhance operational agility, adapt to changing market demands, and drive better business transformation.</w:t>
      </w:r>
    </w:p>
    <w:p>
      <w:pPr>
        <w:spacing w:after="0" w:line="209" w:lineRule="exact"/>
        <w:rPr>
          <w:sz w:val="20"/>
          <w:szCs w:val="20"/>
          <w:color w:val="auto"/>
        </w:rPr>
      </w:pPr>
    </w:p>
    <w:p>
      <w:pPr>
        <w:jc w:val="both"/>
        <w:ind w:firstLine="40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Pricing: </w:t>
      </w:r>
      <w:r>
        <w:rPr>
          <w:rFonts w:ascii="Times New Roman" w:cs="Times New Roman" w:eastAsia="Times New Roman" w:hAnsi="Times New Roman"/>
          <w:sz w:val="17"/>
          <w:szCs w:val="17"/>
          <w:color w:val="auto"/>
        </w:rPr>
        <w:t>We charge for our services using various pricing models like time-and-material pricing, full-time-equivalent pricing, transaction-based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pricing, outcome-based pricing, subscription-based pricing and other alternative or emerging pricing models. Outcome-based pricing arrangements are an example of a non-linear pricing model where our revenues from platforms and solutions and the services we provide are compensated based on our clients’ usage or savings rather than the efforts we deploy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1" w:lineRule="exact"/>
        <w:rPr>
          <w:sz w:val="20"/>
          <w:szCs w:val="20"/>
          <w:color w:val="auto"/>
        </w:rPr>
      </w:pPr>
    </w:p>
    <w:p>
      <w:pPr>
        <w:jc w:val="both"/>
        <w:ind w:firstLine="401"/>
        <w:spacing w:after="0" w:line="257"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March 31, 2026, as compared to the critical accounting policies and estimates referred in Part II, Item 7, “Management’s Discussion and Analysis of Financial Condition and Results of Operations” under “Critical Accounting Estimates” and Note 2 - Summary of Significant Accounting Policies to our consolidated financial statements included in our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81"/>
        </w:trPr>
        <w:tc>
          <w:tcPr>
            <w:tcW w:w="3940" w:type="dxa"/>
            <w:vAlign w:val="bottom"/>
          </w:tcPr>
          <w:p>
            <w:pPr>
              <w:spacing w:after="0"/>
              <w:rPr>
                <w:sz w:val="24"/>
                <w:szCs w:val="2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940" w:type="dxa"/>
            <w:vAlign w:val="bottom"/>
          </w:tcPr>
          <w:p>
            <w:pPr>
              <w:spacing w:after="0"/>
              <w:rPr>
                <w:sz w:val="12"/>
                <w:szCs w:val="12"/>
                <w:color w:val="auto"/>
              </w:rPr>
            </w:pPr>
          </w:p>
        </w:tc>
        <w:tc>
          <w:tcPr>
            <w:tcW w:w="108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7"/>
              </w:rPr>
              <w:t>31, 2025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(C=A-B)</w:t>
            </w:r>
          </w:p>
        </w:tc>
        <w:tc>
          <w:tcPr>
            <w:tcW w:w="100" w:type="dxa"/>
            <w:vAlign w:val="bottom"/>
          </w:tcPr>
          <w:p>
            <w:pPr>
              <w:spacing w:after="0"/>
              <w:rPr>
                <w:sz w:val="16"/>
                <w:szCs w:val="16"/>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39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9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94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b w:val="1"/>
                <w:bCs w:val="1"/>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222.1</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14.9 %</w:t>
            </w:r>
          </w:p>
        </w:tc>
        <w:tc>
          <w:tcPr>
            <w:tcW w:w="0" w:type="dxa"/>
            <w:vAlign w:val="bottom"/>
          </w:tcPr>
          <w:p>
            <w:pPr>
              <w:spacing w:after="0"/>
              <w:rPr>
                <w:sz w:val="1"/>
                <w:szCs w:val="1"/>
                <w:color w:val="auto"/>
              </w:rPr>
            </w:pPr>
          </w:p>
        </w:tc>
      </w:tr>
      <w:tr>
        <w:trPr>
          <w:trHeight w:val="20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17.1 %</w:t>
            </w:r>
          </w:p>
        </w:tc>
        <w:tc>
          <w:tcPr>
            <w:tcW w:w="0" w:type="dxa"/>
            <w:vAlign w:val="bottom"/>
          </w:tcPr>
          <w:p>
            <w:pPr>
              <w:spacing w:after="0"/>
              <w:rPr>
                <w:sz w:val="1"/>
                <w:szCs w:val="1"/>
                <w:color w:val="auto"/>
              </w:rPr>
            </w:pPr>
          </w:p>
        </w:tc>
      </w:tr>
      <w:tr>
        <w:trPr>
          <w:trHeight w:val="22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7"/>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154"/>
        </w:trPr>
        <w:tc>
          <w:tcPr>
            <w:tcW w:w="39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Income before income tax expense and earnings</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1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8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0" w:type="dxa"/>
            <w:vAlign w:val="bottom"/>
          </w:tcPr>
          <w:p>
            <w:pPr>
              <w:spacing w:after="0"/>
              <w:rPr>
                <w:sz w:val="1"/>
                <w:szCs w:val="1"/>
                <w:color w:val="auto"/>
              </w:rPr>
            </w:pPr>
          </w:p>
        </w:tc>
      </w:tr>
      <w:tr>
        <w:trPr>
          <w:trHeight w:val="24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from equity affiliates</w:t>
            </w:r>
          </w:p>
        </w:tc>
        <w:tc>
          <w:tcPr>
            <w:tcW w:w="18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2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0" w:type="dxa"/>
            <w:vAlign w:val="bottom"/>
          </w:tcPr>
          <w:p>
            <w:pPr>
              <w:spacing w:after="0"/>
              <w:rPr>
                <w:sz w:val="1"/>
                <w:szCs w:val="1"/>
                <w:color w:val="auto"/>
              </w:rPr>
            </w:pPr>
          </w:p>
        </w:tc>
      </w:tr>
      <w:tr>
        <w:trPr>
          <w:trHeight w:val="22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from equity-method investment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0" w:type="dxa"/>
            <w:vAlign w:val="bottom"/>
          </w:tcPr>
          <w:p>
            <w:pPr>
              <w:spacing w:after="0"/>
              <w:rPr>
                <w:sz w:val="1"/>
                <w:szCs w:val="1"/>
                <w:color w:val="auto"/>
              </w:rPr>
            </w:pPr>
          </w:p>
        </w:tc>
      </w:tr>
      <w:tr>
        <w:trPr>
          <w:trHeight w:val="245"/>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(1) Exclusive of depreciation and amortization expense.</w:t>
      </w:r>
    </w:p>
    <w:p>
      <w:pPr>
        <w:spacing w:after="0" w:line="167" w:lineRule="exact"/>
        <w:rPr>
          <w:sz w:val="20"/>
          <w:szCs w:val="20"/>
          <w:color w:val="auto"/>
        </w:rPr>
      </w:pPr>
    </w:p>
    <w:p>
      <w:pPr>
        <w:ind w:left="480" w:right="60"/>
        <w:spacing w:after="0" w:line="279" w:lineRule="auto"/>
        <w:rPr>
          <w:sz w:val="20"/>
          <w:szCs w:val="20"/>
          <w:color w:val="auto"/>
        </w:rPr>
      </w:pPr>
      <w:r>
        <w:rPr>
          <w:rFonts w:ascii="Times New Roman" w:cs="Times New Roman" w:eastAsia="Times New Roman" w:hAnsi="Times New Roman"/>
          <w:sz w:val="18"/>
          <w:szCs w:val="18"/>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summarizes our revenues by reportable segments:</w:t>
      </w:r>
    </w:p>
    <w:p>
      <w:pPr>
        <w:spacing w:after="0" w:line="39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2940" w:type="dxa"/>
            <w:vAlign w:val="bottom"/>
            <w:gridSpan w:val="6"/>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Percentage of Total Revenues for</w:t>
            </w:r>
          </w:p>
        </w:tc>
        <w:tc>
          <w:tcPr>
            <w:tcW w:w="0" w:type="dxa"/>
            <w:vAlign w:val="bottom"/>
          </w:tcPr>
          <w:p>
            <w:pPr>
              <w:spacing w:after="0"/>
              <w:rPr>
                <w:sz w:val="1"/>
                <w:szCs w:val="1"/>
                <w:color w:val="auto"/>
              </w:rPr>
            </w:pPr>
          </w:p>
        </w:tc>
      </w:tr>
      <w:tr>
        <w:trPr>
          <w:trHeight w:val="240"/>
        </w:trPr>
        <w:tc>
          <w:tcPr>
            <w:tcW w:w="2540" w:type="dxa"/>
            <w:vAlign w:val="bottom"/>
          </w:tcPr>
          <w:p>
            <w:pPr>
              <w:spacing w:after="0"/>
              <w:rPr>
                <w:sz w:val="20"/>
                <w:szCs w:val="20"/>
                <w:color w:val="auto"/>
              </w:rPr>
            </w:pPr>
          </w:p>
        </w:tc>
        <w:tc>
          <w:tcPr>
            <w:tcW w:w="2940" w:type="dxa"/>
            <w:vAlign w:val="bottom"/>
            <w:gridSpan w:val="6"/>
            <w:vMerge w:val="continue"/>
          </w:tcPr>
          <w:p>
            <w:pPr>
              <w:spacing w:after="0"/>
              <w:rPr>
                <w:sz w:val="20"/>
                <w:szCs w:val="20"/>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8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the three months ended</w:t>
            </w: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vMerge w:val="restart"/>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380" w:type="dxa"/>
            <w:vAlign w:val="bottom"/>
            <w:tcBorders>
              <w:top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vMerge w:val="restart"/>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40"/>
        </w:trPr>
        <w:tc>
          <w:tcPr>
            <w:tcW w:w="25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3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5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(dollars in millions)</w:t>
            </w:r>
          </w:p>
        </w:tc>
        <w:tc>
          <w:tcPr>
            <w:tcW w:w="6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8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27"/>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174"/>
        </w:trPr>
        <w:tc>
          <w:tcPr>
            <w:tcW w:w="25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Banking, Capital Markets and</w:t>
            </w: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Industries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27"/>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45"/>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88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Revenues for the three months ended March 31, 2026 were up by $69.4 million, or 13.8%, compared to the three months ended March 31, 2025, driven by the expansion of business from our existing clients across all reportable segments by 11.8% and revenue from new clients wins by 2.0% during the three months ended March 31, 2026.</w:t>
      </w:r>
    </w:p>
    <w:p>
      <w:pPr>
        <w:spacing w:after="0" w:line="124"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Revenue growth in Insurance by 12.7% was driven by the expansion of business from our existing clients by 11.5% and new clients by 1.2% during the three months ended March 31, 2026, compared to the three months ended March 31, 2025.</w:t>
      </w:r>
    </w:p>
    <w:p>
      <w:pPr>
        <w:spacing w:after="0" w:line="110"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Revenue growth in Healthcare and Life Sciences by 21.0% was driven by the expansion of business from our existing clients by 20.5% and new clients by 0.5% during the three months ended March 31, 2026, compared to the three months ended March 31, 2025.</w:t>
      </w:r>
    </w:p>
    <w:p>
      <w:pPr>
        <w:spacing w:after="0" w:line="110"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Revenue growth in Banking, Capital Markets and Diversified Industries by 8.2% was driven by the expansion of business from our existing clients by 4.1% and new clients by 4.1% during the three months ended March 31, 2026, compared to the three months ended March 31, 2025.</w:t>
      </w:r>
    </w:p>
    <w:p>
      <w:pPr>
        <w:spacing w:after="0" w:line="110"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Revenue growth in International Growth Markets of 13.4% was driven by the expansion of business from our existing clients by 8.0%, new clients by 2.9% and a foreign exchange gain, net of hedging by 2.5% during the three months ended March 31, 2026, compared to the three months ended March 31, 2025.</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187"/>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Pr>
          <w:p>
            <w:pPr>
              <w:spacing w:after="0"/>
              <w:rPr>
                <w:sz w:val="16"/>
                <w:szCs w:val="16"/>
                <w:color w:val="auto"/>
              </w:rPr>
            </w:pPr>
          </w:p>
        </w:tc>
      </w:tr>
      <w:tr>
        <w:trPr>
          <w:trHeight w:val="25"/>
        </w:trPr>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6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4"/>
        </w:trPr>
        <w:tc>
          <w:tcPr>
            <w:tcW w:w="2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2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2"/>
        </w:trPr>
        <w:tc>
          <w:tcPr>
            <w:tcW w:w="2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5"/>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174"/>
        </w:trPr>
        <w:tc>
          <w:tcPr>
            <w:tcW w:w="23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Banking, Capital Markets and</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Industries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5"/>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18"/>
          <w:szCs w:val="18"/>
          <w:color w:val="auto"/>
        </w:rPr>
        <w:t>Cost of revenues for the three months ended March 31, 2026 increased by $40.6 million, or 13.2%, compared to the three months ended March 31, 2025. The increase in cost of revenues was due to increases in employee-related costs of $35.5 million on account of higher headcount and wage inflation, and higher technology, facilities and other operating costs of $8.8 million, partially offset by a foreign exchange gain, net of hedging of $3.7 million. Our gross margin for the three months ended March 31, 2026 was 38.9%, compared to 38.6% for the three months ended March 31, 2025, an increase of 30 basis points (“bps”) primarily driven by higher revenues and operational efficiencies, partially offset by lower volumes in certain existing clients during the three months ended March 31, 2026, compared to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18"/>
          <w:szCs w:val="18"/>
          <w:color w:val="auto"/>
        </w:rPr>
        <w:t>The increase in cost of revenues in Insurance by $11.6 million for the three months ended March 31, 2026 was due to increases in employee-related costs of $11.2 million on account of higher headcount and wage inflation, and higher technology costs of $1.8 million, partially offset by a foreign exchange gain, net of hedging of $1.1 million and lower other operating costs of $0.3 million. Gross margin in Insurance increased by 110 bps, primarily due to higher revenues and operational efficiencies during the three months ended March 31, 2026, compared to the three months ended March 31, 2025.</w:t>
      </w:r>
    </w:p>
    <w:p>
      <w:pPr>
        <w:spacing w:after="0" w:line="207" w:lineRule="exact"/>
        <w:rPr>
          <w:sz w:val="20"/>
          <w:szCs w:val="20"/>
          <w:color w:val="auto"/>
        </w:rPr>
      </w:pPr>
    </w:p>
    <w:p>
      <w:pPr>
        <w:jc w:val="both"/>
        <w:ind w:firstLine="401"/>
        <w:spacing w:after="0" w:line="236" w:lineRule="auto"/>
        <w:rPr>
          <w:sz w:val="20"/>
          <w:szCs w:val="20"/>
          <w:color w:val="auto"/>
        </w:rPr>
      </w:pPr>
      <w:r>
        <w:rPr>
          <w:rFonts w:ascii="Times New Roman" w:cs="Times New Roman" w:eastAsia="Times New Roman" w:hAnsi="Times New Roman"/>
          <w:sz w:val="18"/>
          <w:szCs w:val="18"/>
          <w:color w:val="auto"/>
        </w:rPr>
        <w:t>The increase in cost of revenues in Healthcare and Life Sciences by $12.6 million for the three months ended March 31, 2026 was due to increases in employee-related costs of $9.3 million on account of higher headcount and wage inflation, higher technology costs of $1.6 million, and higher facilities and other operating costs of $2.7 million, partially offset by foreign exchange gain, net of hedging of $1.0 million. Gross margin in Healthcare and Life Sciences increased by 140 bps, primarily due to higher volumes in certain existing clients during the three months ended March 31, 2026, compared to the three months ended March 31, 2025.</w:t>
      </w:r>
    </w:p>
    <w:p>
      <w:pPr>
        <w:spacing w:after="0" w:line="211" w:lineRule="exact"/>
        <w:rPr>
          <w:sz w:val="20"/>
          <w:szCs w:val="20"/>
          <w:color w:val="auto"/>
        </w:rPr>
      </w:pPr>
    </w:p>
    <w:p>
      <w:pPr>
        <w:jc w:val="both"/>
        <w:ind w:firstLine="401"/>
        <w:spacing w:after="0" w:line="239" w:lineRule="auto"/>
        <w:rPr>
          <w:sz w:val="20"/>
          <w:szCs w:val="20"/>
          <w:color w:val="auto"/>
        </w:rPr>
      </w:pPr>
      <w:r>
        <w:rPr>
          <w:rFonts w:ascii="Times New Roman" w:cs="Times New Roman" w:eastAsia="Times New Roman" w:hAnsi="Times New Roman"/>
          <w:sz w:val="18"/>
          <w:szCs w:val="18"/>
          <w:color w:val="auto"/>
        </w:rPr>
        <w:t>The increase in cost of revenues in Banking, Capital Markets and Diversified Industries by $6.7 million for the three months ended March 31, 2026 was due to increases in employee-related costs of $6.9 million on account of higher headcount and wage inflation, and higher technology costs of $1.1 million, partially offset by a foreign exchange gain, net of hedging of $1.0 million and lower other operating costs of $0.3 million. Gross margin in Banking, Capital Markets and Diversified Industries decreased by 40 bps, primarily due to lower volumes in certain existing clients during the three months ended March 31, 2026, compared to the three months ended March 31, 2025.</w:t>
      </w:r>
    </w:p>
    <w:p>
      <w:pPr>
        <w:spacing w:after="0" w:line="212" w:lineRule="exact"/>
        <w:rPr>
          <w:sz w:val="20"/>
          <w:szCs w:val="20"/>
          <w:color w:val="auto"/>
        </w:rPr>
      </w:pPr>
    </w:p>
    <w:p>
      <w:pPr>
        <w:jc w:val="both"/>
        <w:ind w:firstLine="401"/>
        <w:spacing w:after="0" w:line="239" w:lineRule="auto"/>
        <w:rPr>
          <w:sz w:val="20"/>
          <w:szCs w:val="20"/>
          <w:color w:val="auto"/>
        </w:rPr>
      </w:pPr>
      <w:r>
        <w:rPr>
          <w:rFonts w:ascii="Times New Roman" w:cs="Times New Roman" w:eastAsia="Times New Roman" w:hAnsi="Times New Roman"/>
          <w:sz w:val="18"/>
          <w:szCs w:val="18"/>
          <w:color w:val="auto"/>
        </w:rPr>
        <w:t>The increase in cost of revenues in International Growth Markets by $9.7 million for the three months ended March 31, 2026 was due to increases in employee-related costs of $8.1 million on account of higher headcount and wage inflation, and higher technology, facilities and other operating costs of $2.2 million, partially offset by a foreign exchange gain, net of hedging of $0.6 million. Gross margin in International Growth Markets decreased by 250 bps, primarily due to lower volumes in certain existing clients during the three months ended March 31, 2026, compared to the three months ended March 31, 2025.</w:t>
      </w:r>
    </w:p>
    <w:p>
      <w:pPr>
        <w:spacing w:after="0" w:line="200" w:lineRule="exact"/>
        <w:rPr>
          <w:sz w:val="20"/>
          <w:szCs w:val="20"/>
          <w:color w:val="auto"/>
        </w:rPr>
      </w:pPr>
    </w:p>
    <w:p>
      <w:pPr>
        <w:spacing w:after="0" w:line="262"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as a percentage of net revenues increased from 20.2% during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2025 to 20.4% during the three months ended March 31, 2026.</w:t>
      </w:r>
    </w:p>
    <w:p>
      <w:pPr>
        <w:spacing w:after="0" w:line="185"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The increase in SG&amp;A expenses by $15.0 million during the three months ended March 31, 2026, compared to the three months ended March 31, 2025 was primarily due to increases in employee-related costs of $11.8 million on account of higher headcount and wage inflation, increased investments in digital and generative AI capabilities of $1.9 million, and higher sales and marketing and other operating costs of $1.3 million.</w:t>
      </w:r>
    </w:p>
    <w:p>
      <w:pPr>
        <w:spacing w:after="0" w:line="106"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as a percentage of net revenues decreased by 0.2% during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2026, compared to the three months ended March 31, 2025.</w:t>
      </w:r>
    </w:p>
    <w:p>
      <w:pPr>
        <w:spacing w:after="0" w:line="119"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The increase in depreciation and amortization expense by 3.3% during the three months ended March 31, 2026, compared to the three months ended March 31, 2025 was primarily due to investments in infrastructure, technology assets and digital capabilities.</w:t>
      </w:r>
    </w:p>
    <w:p>
      <w:pPr>
        <w:spacing w:after="0" w:line="105" w:lineRule="exact"/>
        <w:rPr>
          <w:sz w:val="20"/>
          <w:szCs w:val="20"/>
          <w:color w:val="auto"/>
        </w:rPr>
      </w:pPr>
    </w:p>
    <w:p>
      <w:pPr>
        <w:jc w:val="both"/>
        <w:ind w:firstLine="40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The increase in income from operations by 17.1% during the three months ended March 31, 2026, compared to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2025 was primarily due to higher revenues and gross margins, partially offset by higher SG&amp;A expenses.</w:t>
      </w:r>
    </w:p>
    <w:p>
      <w:pPr>
        <w:spacing w:after="0" w:line="116" w:lineRule="exact"/>
        <w:rPr>
          <w:sz w:val="20"/>
          <w:szCs w:val="20"/>
          <w:color w:val="auto"/>
        </w:rPr>
      </w:pPr>
    </w:p>
    <w:p>
      <w:pPr>
        <w:jc w:val="both"/>
        <w:ind w:firstLine="40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 net. </w:t>
      </w:r>
      <w:r>
        <w:rPr>
          <w:rFonts w:ascii="Times New Roman" w:cs="Times New Roman" w:eastAsia="Times New Roman" w:hAnsi="Times New Roman"/>
          <w:sz w:val="18"/>
          <w:szCs w:val="18"/>
          <w:color w:val="auto"/>
        </w:rPr>
        <w:t>We recorded a foreign exchange gain, net of $1.1 million for the three months ended March 31, 2026,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exchange gain, net of $1.2 million for the three months ended March 31, 2025. Foreign exchange gains and losses are primarily attributable to the movement of the U.S. dollar against the Indian rupee, the Philippine peso, the U.K. pound sterling and the South African rand during the three months ended March 31, 2026, compared to the three months ended March 31, 2025.</w:t>
      </w:r>
    </w:p>
    <w:p>
      <w:pPr>
        <w:spacing w:after="0" w:line="202"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The decrease in interest expense by $0.1 million during the three months ended March 31, 2026, compared to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was primarily due to a lower average effective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3"/>
        </w:trPr>
        <w:tc>
          <w:tcPr>
            <w:tcW w:w="5660" w:type="dxa"/>
            <w:vAlign w:val="bottom"/>
          </w:tcPr>
          <w:p>
            <w:pPr>
              <w:spacing w:after="0"/>
              <w:rPr>
                <w:sz w:val="24"/>
                <w:szCs w:val="24"/>
                <w:color w:val="auto"/>
              </w:rPr>
            </w:pPr>
          </w:p>
        </w:tc>
        <w:tc>
          <w:tcPr>
            <w:tcW w:w="232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7"/>
        </w:trPr>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4"/>
        </w:trPr>
        <w:tc>
          <w:tcPr>
            <w:tcW w:w="5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6"/>
              </w:rPr>
              <w:t>Dollar change</w:t>
            </w:r>
          </w:p>
        </w:tc>
      </w:tr>
      <w:tr>
        <w:trPr>
          <w:trHeight w:val="215"/>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gridSpan w:val="6"/>
          </w:tcPr>
          <w:p>
            <w:pPr>
              <w:jc w:val="right"/>
              <w:ind w:right="991"/>
              <w:spacing w:after="0"/>
              <w:rPr>
                <w:sz w:val="20"/>
                <w:szCs w:val="20"/>
                <w:color w:val="auto"/>
              </w:rPr>
            </w:pPr>
            <w:r>
              <w:rPr>
                <w:rFonts w:ascii="Times New Roman" w:cs="Times New Roman" w:eastAsia="Times New Roman" w:hAnsi="Times New Roman"/>
                <w:sz w:val="18"/>
                <w:szCs w:val="18"/>
                <w:b w:val="1"/>
                <w:bCs w:val="1"/>
                <w:color w:val="auto"/>
                <w:w w:val="98"/>
              </w:rPr>
              <w:t>(dollars in millions)</w:t>
            </w:r>
          </w:p>
        </w:tc>
      </w:tr>
      <w:tr>
        <w:trPr>
          <w:trHeight w:val="22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7"/>
              </w:rPr>
              <w:t>1.6</w:t>
            </w:r>
          </w:p>
        </w:tc>
        <w:tc>
          <w:tcPr>
            <w:tcW w:w="40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220" w:type="dxa"/>
            <w:vAlign w:val="bottom"/>
          </w:tcPr>
          <w:p>
            <w:pPr>
              <w:spacing w:after="0"/>
              <w:rPr>
                <w:sz w:val="19"/>
                <w:szCs w:val="19"/>
                <w:color w:val="auto"/>
              </w:rPr>
            </w:pPr>
          </w:p>
        </w:tc>
        <w:tc>
          <w:tcPr>
            <w:tcW w:w="7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7"/>
              </w:rPr>
              <w:t>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2"/>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left="351"/>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ind w:left="451"/>
              <w:spacing w:after="0"/>
              <w:rPr>
                <w:sz w:val="20"/>
                <w:szCs w:val="20"/>
                <w:color w:val="auto"/>
              </w:rPr>
            </w:pPr>
            <w:r>
              <w:rPr>
                <w:rFonts w:ascii="Times New Roman" w:cs="Times New Roman" w:eastAsia="Times New Roman" w:hAnsi="Times New Roman"/>
                <w:sz w:val="18"/>
                <w:szCs w:val="18"/>
                <w:color w:val="auto"/>
                <w:w w:val="97"/>
              </w:rPr>
              <w:t>2.5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-618490</wp:posOffset>
            </wp:positionV>
            <wp:extent cx="6879590" cy="144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79590" cy="14414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-330200</wp:posOffset>
            </wp:positionV>
            <wp:extent cx="6879590" cy="144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79590" cy="144145"/>
                    </a:xfrm>
                    <a:prstGeom prst="rect">
                      <a:avLst/>
                    </a:prstGeom>
                    <a:noFill/>
                  </pic:spPr>
                </pic:pic>
              </a:graphicData>
            </a:graphic>
          </wp:anchor>
        </w:drawing>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Percentage</w:t>
      </w:r>
    </w:p>
    <w:p>
      <w:pPr>
        <w:spacing w:after="0" w:line="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11430</wp:posOffset>
            </wp:positionV>
            <wp:extent cx="9163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16305" cy="8255"/>
                    </a:xfrm>
                    <a:prstGeom prst="rect">
                      <a:avLst/>
                    </a:prstGeom>
                    <a:noFill/>
                  </pic:spPr>
                </pic:pic>
              </a:graphicData>
            </a:graphic>
          </wp:anchor>
        </w:drawing>
      </w:r>
    </w:p>
    <w:p>
      <w:pPr>
        <w:spacing w:after="0" w:line="23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(40.8)%</w:t>
      </w:r>
    </w:p>
    <w:p>
      <w:pPr>
        <w:spacing w:after="0" w:line="2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(23.5)%</w:t>
      </w:r>
    </w:p>
    <w:p>
      <w:pPr>
        <w:jc w:val="right"/>
        <w:ind w:right="100"/>
        <w:spacing w:after="0" w:line="184" w:lineRule="auto"/>
        <w:rPr>
          <w:sz w:val="20"/>
          <w:szCs w:val="20"/>
          <w:color w:val="auto"/>
        </w:rPr>
      </w:pPr>
      <w:r>
        <w:rPr>
          <w:rFonts w:ascii="Times New Roman" w:cs="Times New Roman" w:eastAsia="Times New Roman" w:hAnsi="Times New Roman"/>
          <w:sz w:val="28"/>
          <w:szCs w:val="28"/>
          <w:color w:val="auto"/>
          <w:vertAlign w:val="subscript"/>
        </w:rPr>
        <w:t>NM</w:t>
      </w: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0</wp:posOffset>
            </wp:positionV>
            <wp:extent cx="916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16305" cy="825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15875</wp:posOffset>
            </wp:positionV>
            <wp:extent cx="916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6305"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41275</wp:posOffset>
            </wp:positionV>
            <wp:extent cx="916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6305" cy="8255"/>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9620" w:space="400"/>
            <w:col w:w="1220"/>
          </w:cols>
          <w:pgMar w:left="320" w:top="117" w:right="339" w:bottom="1440" w:gutter="0" w:footer="0" w:header="0"/>
        </w:sect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Other income, net decreased by $2.2 million during the three months ended March 31, 2026, compared to the three months ended March 31, 2025 due to lower yield on our investments and higher other expenses.</w:t>
      </w:r>
    </w:p>
    <w:p>
      <w:pPr>
        <w:spacing w:after="0" w:line="93"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The effective tax rate for the three months ended March 31, 2026 was 26.6%, an increase from 16.9%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We recorded income tax expense of $24.3 million and $13.5 million for the three months ended March 31, 2026 and 2025, respectively. The increase in income tax expense was primarily as a result of lower excess tax benefits related to stock-based compensation of $13.2 million and higher profit, partially offset by a decrease in non-deductible compensation expenses, as compared to the three months ended March 31, 2025.</w:t>
      </w:r>
    </w:p>
    <w:p>
      <w:pPr>
        <w:spacing w:after="0" w:line="204" w:lineRule="exact"/>
        <w:rPr>
          <w:sz w:val="20"/>
          <w:szCs w:val="20"/>
          <w:color w:val="auto"/>
        </w:rPr>
      </w:pPr>
    </w:p>
    <w:p>
      <w:pPr>
        <w:jc w:val="both"/>
        <w:ind w:firstLine="40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The increase in net income by 0.8% during the three months ended March 31, 2026, compared to the three months ended March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attributable to the aforementioned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320" w:type="dxa"/>
        <w:tblCellMar>
          <w:top w:w="0" w:type="dxa"/>
          <w:left w:w="0" w:type="dxa"/>
          <w:bottom w:w="0" w:type="dxa"/>
          <w:right w:w="0" w:type="dxa"/>
        </w:tblCellMar>
      </w:tblPr>
      <w:tr>
        <w:trPr>
          <w:trHeight w:val="237"/>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4"/>
        </w:trPr>
        <w:tc>
          <w:tcPr>
            <w:tcW w:w="5020" w:type="dxa"/>
            <w:vAlign w:val="bottom"/>
          </w:tcPr>
          <w:p>
            <w:pPr>
              <w:spacing w:after="0"/>
              <w:rPr>
                <w:sz w:val="24"/>
                <w:szCs w:val="24"/>
                <w:color w:val="auto"/>
              </w:rPr>
            </w:pPr>
          </w:p>
        </w:tc>
        <w:tc>
          <w:tcPr>
            <w:tcW w:w="3060" w:type="dxa"/>
            <w:vAlign w:val="bottom"/>
            <w:tcBorders>
              <w:bottom w:val="single" w:sz="8" w:color="auto"/>
            </w:tcBorders>
            <w:gridSpan w:val="5"/>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47"/>
        </w:trPr>
        <w:tc>
          <w:tcPr>
            <w:tcW w:w="50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420" w:type="dxa"/>
            <w:vAlign w:val="bottom"/>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0"/>
        </w:trPr>
        <w:tc>
          <w:tcPr>
            <w:tcW w:w="50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(dollars in millions)</w:t>
            </w: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for) investing activities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2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for)/provided by financing activities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420" w:type="dxa"/>
            <w:vAlign w:val="bottom"/>
          </w:tcPr>
          <w:p>
            <w:pPr>
              <w:jc w:val="right"/>
              <w:spacing w:after="0" w:line="227"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r>
      <w:tr>
        <w:trPr>
          <w:trHeight w:val="22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2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100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Not Meaningful</w:t>
      </w:r>
    </w:p>
    <w:p>
      <w:pPr>
        <w:spacing w:after="0" w:line="314"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As of March 31, 2026 and December 31, 2025, we had $253.8 million and $328.4 million, respectively, in cash, cash equivalents and short-term investments, of which $206.9 million and $285.8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As and when we decide to distribute, we may have to accrue additional taxes in accordance with local tax laws, rules and regulations in the relevant foreign jurisdictions. During the three months ended March 31, 2026, some of our foreign subsidiaries repatriated $13.0 million to the United States.</w:t>
      </w:r>
    </w:p>
    <w:p>
      <w:pPr>
        <w:spacing w:after="0" w:line="132"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$1.7 million during the three months ended March 31,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 million during the three months ended March 31, 2025, reflecting lower cash earnings, partially offset by changes in working capital. The major drivers contributing to the decrease of $1.5 million year-over-year included the following:</w:t>
      </w:r>
    </w:p>
    <w:p>
      <w:pPr>
        <w:spacing w:after="0" w:line="163" w:lineRule="exact"/>
        <w:rPr>
          <w:sz w:val="20"/>
          <w:szCs w:val="20"/>
          <w:color w:val="auto"/>
        </w:rPr>
      </w:pPr>
    </w:p>
    <w:p>
      <w:pPr>
        <w:jc w:val="both"/>
        <w:ind w:left="640" w:hanging="313"/>
        <w:spacing w:after="0" w:line="244" w:lineRule="auto"/>
        <w:tabs>
          <w:tab w:leader="none" w:pos="635" w:val="left"/>
        </w:tabs>
        <w:numPr>
          <w:ilvl w:val="0"/>
          <w:numId w:val="2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Decrease in cash earnings, including adjustments for non-cash and other items contributed lower cash flow of $2.5 million during the three months ended March 31, 2026, compared to the three months ended March 31, 2025. These adjustments include unrealized foreign currency exchange (gain)/loss, net, fair value mark-to-market on investments, stock-based employee compensation, depreciation and amortization of long-lived assets and intangibles acquired in business combinations, among others.</w:t>
      </w:r>
    </w:p>
    <w:p>
      <w:pPr>
        <w:spacing w:after="0" w:line="178" w:lineRule="exact"/>
        <w:rPr>
          <w:rFonts w:ascii="Times New Roman" w:cs="Times New Roman" w:eastAsia="Times New Roman" w:hAnsi="Times New Roman"/>
          <w:sz w:val="21"/>
          <w:szCs w:val="21"/>
          <w:b w:val="1"/>
          <w:bCs w:val="1"/>
          <w:i w:val="1"/>
          <w:iCs w:val="1"/>
          <w:color w:val="auto"/>
        </w:rPr>
      </w:pPr>
    </w:p>
    <w:p>
      <w:pPr>
        <w:jc w:val="both"/>
        <w:ind w:left="640" w:hanging="313"/>
        <w:spacing w:after="0" w:line="242" w:lineRule="auto"/>
        <w:tabs>
          <w:tab w:leader="none" w:pos="635" w:val="left"/>
        </w:tabs>
        <w:numPr>
          <w:ilvl w:val="0"/>
          <w:numId w:val="2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Changes in accounts receivable, including advance billings, contributed lower cash flow of $5.0 million during the three months ended March 31, 2026, compared to the three months ended March 31, 2025. Our days sales outstanding were 63 days as of March 31, 2026, compared to 67 days as of March 31, 2025.</w:t>
      </w:r>
    </w:p>
    <w:p>
      <w:pPr>
        <w:spacing w:after="0" w:line="167" w:lineRule="exact"/>
        <w:rPr>
          <w:rFonts w:ascii="Times New Roman" w:cs="Times New Roman" w:eastAsia="Times New Roman" w:hAnsi="Times New Roman"/>
          <w:sz w:val="21"/>
          <w:szCs w:val="21"/>
          <w:b w:val="1"/>
          <w:bCs w:val="1"/>
          <w:i w:val="1"/>
          <w:iCs w:val="1"/>
          <w:color w:val="auto"/>
        </w:rPr>
      </w:pPr>
    </w:p>
    <w:p>
      <w:pPr>
        <w:ind w:left="640" w:hanging="313"/>
        <w:spacing w:after="0" w:line="231" w:lineRule="auto"/>
        <w:tabs>
          <w:tab w:leader="none" w:pos="635" w:val="left"/>
        </w:tabs>
        <w:numPr>
          <w:ilvl w:val="0"/>
          <w:numId w:val="2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Changes in other assets, accounts payables including other liabilities contributed to a lower cash payout of $6.0 million during the three months ended March 31, 2026, compared to the three months ended March 31, 2025.</w:t>
      </w:r>
    </w:p>
    <w:p>
      <w:pPr>
        <w:spacing w:after="0" w:line="127" w:lineRule="exact"/>
        <w:rPr>
          <w:sz w:val="20"/>
          <w:szCs w:val="20"/>
          <w:color w:val="auto"/>
        </w:rPr>
      </w:pPr>
    </w:p>
    <w:p>
      <w:pPr>
        <w:jc w:val="both"/>
        <w:ind w:firstLine="401"/>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provided by investing activities were $44.0 million for the three months ended March 31, 2026,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of $22.3 million for the three months ended March 31, 2025. The increase of $66.3 million was primarily due to higher proceeds from redemption of investments of $65.7 million during the three months ended March 31, 2026, as compared to the three months ended March 31, 2025.</w:t>
      </w:r>
    </w:p>
    <w:p>
      <w:pPr>
        <w:spacing w:after="0" w:line="200"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used for financing activities were $44.6 million during the three months ended March 31, 2026,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of $3.4 million during the three months ended March 31, 2025. The decrease of $48.0 million was due to higher purchases of treasury stock of $148.0 million under our share repurchase programs, partially offset by higher net proceeds from borrowings of $100.0 million during the three months ended March 31, 2026, compared to the three months ended March 31, 2025.</w:t>
      </w:r>
    </w:p>
    <w:p>
      <w:pPr>
        <w:spacing w:after="0" w:line="139" w:lineRule="exact"/>
        <w:rPr>
          <w:sz w:val="20"/>
          <w:szCs w:val="20"/>
          <w:color w:val="auto"/>
        </w:rPr>
      </w:pPr>
    </w:p>
    <w:p>
      <w:pPr>
        <w:jc w:val="both"/>
        <w:ind w:firstLine="401"/>
        <w:spacing w:after="0" w:line="308" w:lineRule="auto"/>
        <w:rPr>
          <w:sz w:val="20"/>
          <w:szCs w:val="20"/>
          <w:color w:val="auto"/>
        </w:rPr>
      </w:pPr>
      <w:r>
        <w:rPr>
          <w:rFonts w:ascii="Times New Roman" w:cs="Times New Roman" w:eastAsia="Times New Roman" w:hAnsi="Times New Roman"/>
          <w:sz w:val="17"/>
          <w:szCs w:val="17"/>
          <w:color w:val="auto"/>
        </w:rPr>
        <w:t>We expect to use cash from operating activities to maintain and expand our business by making investments, primarily related to building new digital capabilities, including AI, and purchase telecommunications equipment and computer hardware and software in connection with managing client operations.</w:t>
      </w:r>
    </w:p>
    <w:p>
      <w:pPr>
        <w:spacing w:after="0" w:line="86" w:lineRule="exact"/>
        <w:rPr>
          <w:sz w:val="20"/>
          <w:szCs w:val="20"/>
          <w:color w:val="auto"/>
        </w:rPr>
      </w:pPr>
    </w:p>
    <w:p>
      <w:pPr>
        <w:jc w:val="both"/>
        <w:ind w:firstLine="401"/>
        <w:spacing w:after="0" w:line="277" w:lineRule="auto"/>
        <w:rPr>
          <w:sz w:val="20"/>
          <w:szCs w:val="20"/>
          <w:color w:val="auto"/>
        </w:rPr>
      </w:pPr>
      <w:r>
        <w:rPr>
          <w:rFonts w:ascii="Times New Roman" w:cs="Times New Roman" w:eastAsia="Times New Roman" w:hAnsi="Times New Roman"/>
          <w:sz w:val="18"/>
          <w:szCs w:val="18"/>
          <w:color w:val="auto"/>
        </w:rPr>
        <w:t>We incurred $12.9 million of capital expenditure during the three months ended March 31, 2026. We expect to incur total capital expenditures of between $50.0 million to $55.0 million in fiscal 2026, primarily to meet our growth requirements,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additions to our facilities and infrastructure, as well as investments in technology applications, product development and other digital technologies.</w:t>
      </w:r>
    </w:p>
    <w:p>
      <w:pPr>
        <w:spacing w:after="0" w:line="179"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under Part I, Item 1, “Financial Statements” for further information.</w:t>
      </w:r>
    </w:p>
    <w:p>
      <w:pPr>
        <w:spacing w:after="0" w:line="110" w:lineRule="exact"/>
        <w:rPr>
          <w:sz w:val="20"/>
          <w:szCs w:val="20"/>
          <w:color w:val="auto"/>
        </w:rPr>
      </w:pPr>
    </w:p>
    <w:p>
      <w:pPr>
        <w:jc w:val="both"/>
        <w:ind w:firstLine="441"/>
        <w:spacing w:after="0" w:line="238"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like acquisition of complementary businesses, capital expenditures and continued stock repurchases, including accelerated stock repurchases,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we may need to obtain additional financing.</w:t>
      </w:r>
    </w:p>
    <w:p>
      <w:pPr>
        <w:spacing w:after="0" w:line="211" w:lineRule="exact"/>
        <w:rPr>
          <w:sz w:val="20"/>
          <w:szCs w:val="20"/>
          <w:color w:val="auto"/>
        </w:rPr>
      </w:pPr>
    </w:p>
    <w:p>
      <w:pPr>
        <w:jc w:val="both"/>
        <w:ind w:firstLine="441"/>
        <w:spacing w:after="0" w:line="233" w:lineRule="auto"/>
        <w:rPr>
          <w:sz w:val="20"/>
          <w:szCs w:val="20"/>
          <w:color w:val="auto"/>
        </w:rPr>
      </w:pPr>
      <w:r>
        <w:rPr>
          <w:rFonts w:ascii="Times New Roman" w:cs="Times New Roman" w:eastAsia="Times New Roman" w:hAnsi="Times New Roman"/>
          <w:sz w:val="18"/>
          <w:szCs w:val="18"/>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20 - Employee Benefit Plans, Note 21 - Leases, Note 22 - Income Taxes and Note 25 - Commitments and Contingencies to our unaudited consolidated financial statements under Part I, Item 1, “Financial Statements” for further information on material cash requirements from known contractual and other obligations.</w:t>
      </w:r>
    </w:p>
    <w:p>
      <w:pPr>
        <w:spacing w:after="0" w:line="3" w:lineRule="exact"/>
        <w:rPr>
          <w:sz w:val="20"/>
          <w:szCs w:val="20"/>
          <w:color w:val="auto"/>
        </w:rPr>
      </w:pPr>
    </w:p>
    <w:p>
      <w:pPr>
        <w:jc w:val="both"/>
        <w:ind w:firstLine="401"/>
        <w:spacing w:after="0" w:line="235"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to third parties primarily for facility leases. As of March 31, 2026 and December 31, 2025, we had outstanding letters of credit of $1.1 million and $1.6 million respectively,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debt position:</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3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(dollars in millions)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480" w:type="dxa"/>
            <w:vAlign w:val="bottom"/>
            <w:gridSpan w:val="3"/>
          </w:tcPr>
          <w:p>
            <w:pPr>
              <w:jc w:val="center"/>
              <w:ind w:right="100"/>
              <w:spacing w:after="0" w:line="167" w:lineRule="exact"/>
              <w:rPr>
                <w:sz w:val="20"/>
                <w:szCs w:val="20"/>
                <w:color w:val="auto"/>
              </w:rPr>
            </w:pPr>
            <w:r>
              <w:rPr>
                <w:rFonts w:ascii="Times New Roman" w:cs="Times New Roman" w:eastAsia="Times New Roman" w:hAnsi="Times New Roman"/>
                <w:sz w:val="18"/>
                <w:szCs w:val="18"/>
                <w:b w:val="1"/>
                <w:bCs w:val="1"/>
                <w:color w:val="auto"/>
                <w:w w:val="99"/>
              </w:rPr>
              <w:t>Revolving credit</w:t>
            </w:r>
          </w:p>
        </w:tc>
        <w:tc>
          <w:tcPr>
            <w:tcW w:w="120" w:type="dxa"/>
            <w:vAlign w:val="bottom"/>
          </w:tcPr>
          <w:p>
            <w:pPr>
              <w:spacing w:after="0"/>
              <w:rPr>
                <w:sz w:val="14"/>
                <w:szCs w:val="14"/>
                <w:color w:val="auto"/>
              </w:rPr>
            </w:pPr>
          </w:p>
        </w:tc>
        <w:tc>
          <w:tcPr>
            <w:tcW w:w="106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8"/>
                <w:szCs w:val="18"/>
                <w:b w:val="1"/>
                <w:bCs w:val="1"/>
                <w:color w:val="auto"/>
                <w:w w:val="96"/>
              </w:rPr>
              <w:t>Term loan</w:t>
            </w:r>
          </w:p>
        </w:tc>
        <w:tc>
          <w:tcPr>
            <w:tcW w:w="14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tcPr>
          <w:p>
            <w:pPr>
              <w:jc w:val="center"/>
              <w:ind w:right="80"/>
              <w:spacing w:after="0" w:line="167" w:lineRule="exact"/>
              <w:rPr>
                <w:sz w:val="20"/>
                <w:szCs w:val="20"/>
                <w:color w:val="auto"/>
              </w:rPr>
            </w:pPr>
            <w:r>
              <w:rPr>
                <w:rFonts w:ascii="Times New Roman" w:cs="Times New Roman" w:eastAsia="Times New Roman" w:hAnsi="Times New Roman"/>
                <w:sz w:val="18"/>
                <w:szCs w:val="18"/>
                <w:b w:val="1"/>
                <w:bCs w:val="1"/>
                <w:color w:val="auto"/>
                <w:w w:val="99"/>
              </w:rPr>
              <w:t>Revolving credit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8"/>
                <w:szCs w:val="18"/>
                <w:b w:val="1"/>
                <w:bCs w:val="1"/>
                <w:color w:val="auto"/>
                <w:w w:val="96"/>
              </w:rPr>
              <w:t>Term loan</w:t>
            </w:r>
          </w:p>
        </w:tc>
        <w:tc>
          <w:tcPr>
            <w:tcW w:w="180" w:type="dxa"/>
            <w:vAlign w:val="bottom"/>
          </w:tcPr>
          <w:p>
            <w:pPr>
              <w:spacing w:after="0"/>
              <w:rPr>
                <w:sz w:val="14"/>
                <w:szCs w:val="14"/>
                <w:color w:val="auto"/>
              </w:rPr>
            </w:pPr>
          </w:p>
        </w:tc>
        <w:tc>
          <w:tcPr>
            <w:tcW w:w="76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facility</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0"/>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borrowings</w:t>
            </w: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53"/>
        </w:trPr>
        <w:tc>
          <w:tcPr>
            <w:tcW w:w="3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5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2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401"/>
        <w:spacing w:after="0" w:line="277" w:lineRule="auto"/>
        <w:rPr>
          <w:sz w:val="20"/>
          <w:szCs w:val="20"/>
          <w:color w:val="auto"/>
        </w:rPr>
      </w:pPr>
      <w:r>
        <w:rPr>
          <w:rFonts w:ascii="Times New Roman" w:cs="Times New Roman" w:eastAsia="Times New Roman" w:hAnsi="Times New Roman"/>
          <w:sz w:val="18"/>
          <w:szCs w:val="18"/>
          <w:color w:val="auto"/>
        </w:rPr>
        <w:t>As of March 31, 2026 and December 31, 2025, we were in compliance with the financial covenants under our credit agreement with certain lenders and Citibank N.A. as administrative agent. See Note 18 – Borrowings to our unaudited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ind w:firstLine="401"/>
        <w:spacing w:after="0" w:line="277"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 Summary of Significant Accounting Policies - Recent Accounting Pronouncements to our unaudited consolidated financial statements under Part I,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1" w:lineRule="exact"/>
        <w:rPr>
          <w:sz w:val="20"/>
          <w:szCs w:val="20"/>
          <w:color w:val="auto"/>
        </w:rPr>
      </w:pPr>
    </w:p>
    <w:p>
      <w:pPr>
        <w:jc w:val="both"/>
        <w:ind w:firstLine="441"/>
        <w:spacing w:after="0" w:line="277"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disclosures about market risk from those disclosed in Part II, Item 7A “Quantitative and Qualitative Disclosures About Market Risk” in our Annual Report on Form 10-K for the fiscal year ended December 31, 2025.</w:t>
      </w:r>
    </w:p>
    <w:p>
      <w:pPr>
        <w:spacing w:after="0" w:line="1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01"/>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our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2026. Based upon that evaluation, our CEO and CFO have concluded that the Company’s disclosure controls and procedures, as of March 31, 2026, were effective.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8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8"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25 -Commitments and Contingencies to our unaudited consolidated financial statements under Part I, Item 1, “Financial Statements” for details regarding our tax proceedings.</w:t>
      </w:r>
    </w:p>
    <w:p>
      <w:pPr>
        <w:spacing w:after="0" w:line="200" w:lineRule="exact"/>
        <w:rPr>
          <w:sz w:val="20"/>
          <w:szCs w:val="20"/>
          <w:color w:val="auto"/>
        </w:rPr>
      </w:pPr>
    </w:p>
    <w:p>
      <w:pPr>
        <w:spacing w:after="0" w:line="3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for the fiscal year ended December 31, 2025,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three months ended March 31, 2026, purchases of common stock were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27" w:lineRule="exact"/>
        <w:rPr>
          <w:sz w:val="20"/>
          <w:szCs w:val="20"/>
          <w:color w:val="auto"/>
        </w:rPr>
      </w:pPr>
    </w:p>
    <w:p>
      <w:pPr>
        <w:ind w:left="340" w:right="420"/>
        <w:spacing w:after="0" w:line="254" w:lineRule="auto"/>
        <w:rPr>
          <w:sz w:val="20"/>
          <w:szCs w:val="20"/>
          <w:color w:val="auto"/>
        </w:rPr>
      </w:pPr>
      <w:r>
        <w:rPr>
          <w:rFonts w:ascii="Times New Roman" w:cs="Times New Roman" w:eastAsia="Times New Roman" w:hAnsi="Times New Roman"/>
          <w:sz w:val="17"/>
          <w:szCs w:val="17"/>
          <w:color w:val="auto"/>
        </w:rPr>
        <w:t>January 1, 2026 through January 31, 2026</w:t>
      </w:r>
    </w:p>
    <w:p>
      <w:pPr>
        <w:ind w:left="340" w:right="340"/>
        <w:spacing w:after="0" w:line="254" w:lineRule="auto"/>
        <w:rPr>
          <w:sz w:val="20"/>
          <w:szCs w:val="20"/>
          <w:color w:val="auto"/>
        </w:rPr>
      </w:pPr>
      <w:r>
        <w:rPr>
          <w:rFonts w:ascii="Times New Roman" w:cs="Times New Roman" w:eastAsia="Times New Roman" w:hAnsi="Times New Roman"/>
          <w:sz w:val="17"/>
          <w:szCs w:val="17"/>
          <w:color w:val="auto"/>
        </w:rPr>
        <w:t>February 1, 2026 through February 28, 2026</w:t>
      </w:r>
    </w:p>
    <w:p>
      <w:pPr>
        <w:ind w:left="340"/>
        <w:spacing w:after="0" w:line="235" w:lineRule="auto"/>
        <w:rPr>
          <w:sz w:val="20"/>
          <w:szCs w:val="20"/>
          <w:color w:val="auto"/>
        </w:rPr>
      </w:pPr>
      <w:r>
        <w:rPr>
          <w:rFonts w:ascii="Times New Roman" w:cs="Times New Roman" w:eastAsia="Times New Roman" w:hAnsi="Times New Roman"/>
          <w:sz w:val="18"/>
          <w:szCs w:val="18"/>
          <w:color w:val="auto"/>
        </w:rPr>
        <w:t>March 1, 2026 through March 31, 2026</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940" w:type="dxa"/>
            <w:vAlign w:val="bottom"/>
            <w:gridSpan w:val="3"/>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620" w:type="dxa"/>
            <w:vAlign w:val="bottom"/>
            <w:gridSpan w:val="5"/>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from Employees in connection with</w:t>
            </w:r>
          </w:p>
        </w:tc>
        <w:tc>
          <w:tcPr>
            <w:tcW w:w="29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 Purchased as Part of Publicly</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gridSpan w:val="5"/>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satisfaction of Withholding Tax</w:t>
            </w:r>
          </w:p>
        </w:tc>
        <w:tc>
          <w:tcPr>
            <w:tcW w:w="2900" w:type="dxa"/>
            <w:vAlign w:val="bottom"/>
            <w:gridSpan w:val="5"/>
            <w:vMerge w:val="continue"/>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94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Announced Programs</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40"/>
        </w:trPr>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6"/>
              <w:spacing w:after="0" w:line="141" w:lineRule="exact"/>
              <w:rPr>
                <w:sz w:val="20"/>
                <w:szCs w:val="20"/>
                <w:color w:val="auto"/>
              </w:rPr>
            </w:pPr>
            <w:r>
              <w:rPr>
                <w:rFonts w:ascii="Times New Roman" w:cs="Times New Roman" w:eastAsia="Times New Roman" w:hAnsi="Times New Roman"/>
                <w:sz w:val="16"/>
                <w:szCs w:val="16"/>
                <w:b w:val="1"/>
                <w:bCs w:val="1"/>
                <w:color w:val="auto"/>
                <w:w w:val="98"/>
              </w:rPr>
              <w:t>Value of Shares That</w:t>
            </w:r>
          </w:p>
        </w:tc>
        <w:tc>
          <w:tcPr>
            <w:tcW w:w="0" w:type="dxa"/>
            <w:vAlign w:val="bottom"/>
          </w:tcPr>
          <w:p>
            <w:pPr>
              <w:spacing w:after="0"/>
              <w:rPr>
                <w:sz w:val="1"/>
                <w:szCs w:val="1"/>
                <w:color w:val="auto"/>
              </w:rPr>
            </w:pPr>
          </w:p>
        </w:tc>
      </w:tr>
      <w:tr>
        <w:trPr>
          <w:trHeight w:val="160"/>
        </w:trPr>
        <w:tc>
          <w:tcPr>
            <w:tcW w:w="1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60"/>
        </w:trPr>
        <w:tc>
          <w:tcPr>
            <w:tcW w:w="1440" w:type="dxa"/>
            <w:vAlign w:val="bottom"/>
            <w:gridSpan w:val="2"/>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0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6"/>
              <w:spacing w:after="0" w:line="161"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2"/>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396"/>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73,585</w:t>
            </w:r>
          </w:p>
        </w:tc>
        <w:tc>
          <w:tcPr>
            <w:tcW w:w="120" w:type="dxa"/>
            <w:vAlign w:val="bottom"/>
          </w:tcPr>
          <w:p>
            <w:pPr>
              <w:spacing w:after="0"/>
              <w:rPr>
                <w:sz w:val="24"/>
                <w:szCs w:val="24"/>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371,200</w:t>
            </w:r>
          </w:p>
        </w:tc>
        <w:tc>
          <w:tcPr>
            <w:tcW w:w="100" w:type="dxa"/>
            <w:vAlign w:val="bottom"/>
          </w:tcPr>
          <w:p>
            <w:pPr>
              <w:spacing w:after="0"/>
              <w:rPr>
                <w:sz w:val="24"/>
                <w:szCs w:val="24"/>
                <w:color w:val="auto"/>
              </w:rPr>
            </w:pPr>
          </w:p>
        </w:tc>
        <w:tc>
          <w:tcPr>
            <w:tcW w:w="6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445,681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3,558,225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3,558,225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368,547,067</w:t>
            </w:r>
          </w:p>
        </w:tc>
        <w:tc>
          <w:tcPr>
            <w:tcW w:w="0" w:type="dxa"/>
            <w:vAlign w:val="bottom"/>
          </w:tcPr>
          <w:p>
            <w:pPr>
              <w:spacing w:after="0"/>
              <w:rPr>
                <w:sz w:val="1"/>
                <w:szCs w:val="1"/>
                <w:color w:val="auto"/>
              </w:rPr>
            </w:pPr>
          </w:p>
        </w:tc>
      </w:tr>
      <w:tr>
        <w:trPr>
          <w:trHeight w:val="220"/>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129,695</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4,375,106</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4,504,801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-974725</wp:posOffset>
            </wp:positionV>
            <wp:extent cx="6853555" cy="262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3555" cy="262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-448945</wp:posOffset>
            </wp:positionV>
            <wp:extent cx="6853555" cy="262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3555" cy="262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240"/>
            <w:col w:w="8500"/>
          </w:cols>
          <w:pgMar w:left="320" w:top="117" w:right="339" w:bottom="1440" w:gutter="0" w:footer="0" w:header="0"/>
          <w:type w:val="continuous"/>
        </w:sectPr>
      </w:pPr>
    </w:p>
    <w:p>
      <w:pPr>
        <w:spacing w:after="0" w:line="22"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 million (excluding excise tax) common stock repurchase program beginning March 1, 2024 (the “2024 Repurchase Program”), which was terminated effective February 28, 2026.</w:t>
      </w:r>
    </w:p>
    <w:p>
      <w:pPr>
        <w:spacing w:after="0" w:line="96" w:lineRule="exact"/>
        <w:rPr>
          <w:sz w:val="20"/>
          <w:szCs w:val="20"/>
          <w:color w:val="auto"/>
        </w:rPr>
      </w:pPr>
    </w:p>
    <w:p>
      <w:pPr>
        <w:jc w:val="both"/>
        <w:ind w:firstLine="401"/>
        <w:spacing w:after="0" w:line="247" w:lineRule="auto"/>
        <w:rPr>
          <w:sz w:val="20"/>
          <w:szCs w:val="20"/>
          <w:color w:val="auto"/>
        </w:rPr>
      </w:pPr>
      <w:r>
        <w:rPr>
          <w:rFonts w:ascii="Times New Roman" w:cs="Times New Roman" w:eastAsia="Times New Roman" w:hAnsi="Times New Roman"/>
          <w:sz w:val="18"/>
          <w:szCs w:val="18"/>
          <w:color w:val="auto"/>
        </w:rPr>
        <w:t>On February 19, 2026, the Company’s board of directors authorized a $500 million (excluding excise tax) common stock repurchase program effective February 28, 2026 (the “2026 Repurchase Program”), which replaced the 2024 Repurchase Program, and which will terminate on February 29, 2028 unless terminated earlier.</w:t>
      </w:r>
    </w:p>
    <w:p>
      <w:pPr>
        <w:spacing w:after="0" w:line="122"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18"/>
          <w:szCs w:val="18"/>
          <w:color w:val="auto"/>
        </w:rPr>
        <w:t>On March 16, 2026, we entered into the 2026 ASR Agreement with Morgan Stanley to repurchase shares of our common stock for an aggregate purchase price of $125 million, as part of our 2026 Repurchase Program. Upon payment of the aggregate purchase price of $125 million, we received an initial delivery of 3,346,720 shares of our common stock at an initial price of $29.88 per share, representing 80% of the aggregate purchase price. See Note 19 – Capital Structure to our unaudited consolidated financial statements under Part I, Item 1, “Financial Statements” for further details.</w:t>
      </w:r>
    </w:p>
    <w:p>
      <w:pPr>
        <w:spacing w:after="0" w:line="127"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18"/>
          <w:szCs w:val="18"/>
          <w:color w:val="auto"/>
        </w:rPr>
        <w:t>Under our repurchase program, shares may be purchased by us from time to time from the open market and through private transactions, or otherwise, as determined by our management as market conditions warrant. We have structured open market purchases under our repurchase program to comply with Rule 10b-18 under the Exchange Act. Repurchases may be discontinued at any time by management or our board of directors. Repurchased shares are recorded as treasury shares and are held until our board of directors designates that these shares be retired or used for other purposes.</w:t>
      </w:r>
    </w:p>
    <w:p>
      <w:pPr>
        <w:spacing w:after="0" w:line="200" w:lineRule="exact"/>
        <w:rPr>
          <w:sz w:val="20"/>
          <w:szCs w:val="20"/>
          <w:color w:val="auto"/>
        </w:rPr>
      </w:pPr>
    </w:p>
    <w:p>
      <w:pPr>
        <w:spacing w:after="0" w:line="2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38" w:lineRule="exact"/>
        <w:rPr>
          <w:sz w:val="20"/>
          <w:szCs w:val="20"/>
          <w:color w:val="auto"/>
        </w:rPr>
      </w:pPr>
    </w:p>
    <w:p>
      <w:pPr>
        <w:ind w:firstLine="481"/>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 except as described below:</w:t>
      </w:r>
    </w:p>
    <w:tbl>
      <w:tblPr>
        <w:tblLayout w:type="fixed"/>
        <w:tblInd w:w="48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9"/>
              </w:rPr>
              <w:t>Aggregate Number of Shares of</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Character of Trading</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8"/>
              </w:rPr>
              <w:t>Common Stock to be Sold</w:t>
            </w:r>
          </w:p>
        </w:tc>
        <w:tc>
          <w:tcPr>
            <w:tcW w:w="0" w:type="dxa"/>
            <w:vAlign w:val="bottom"/>
          </w:tcPr>
          <w:p>
            <w:pPr>
              <w:spacing w:after="0"/>
              <w:rPr>
                <w:sz w:val="1"/>
                <w:szCs w:val="1"/>
                <w:color w:val="auto"/>
              </w:rPr>
            </w:pPr>
          </w:p>
        </w:tc>
      </w:tr>
      <w:tr>
        <w:trPr>
          <w:trHeight w:val="174"/>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100" w:type="dxa"/>
            <w:vAlign w:val="bottom"/>
            <w:vMerge w:val="restart"/>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6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Date Adopted</w:t>
            </w:r>
          </w:p>
        </w:tc>
        <w:tc>
          <w:tcPr>
            <w:tcW w:w="80" w:type="dxa"/>
            <w:vAlign w:val="bottom"/>
            <w:vMerge w:val="restart"/>
          </w:tcPr>
          <w:p>
            <w:pPr>
              <w:spacing w:after="0"/>
              <w:rPr>
                <w:sz w:val="15"/>
                <w:szCs w:val="15"/>
                <w:color w:val="auto"/>
              </w:rPr>
            </w:pPr>
          </w:p>
        </w:tc>
        <w:tc>
          <w:tcPr>
            <w:tcW w:w="1800" w:type="dxa"/>
            <w:vAlign w:val="bottom"/>
            <w:vMerge w:val="restart"/>
          </w:tcPr>
          <w:p>
            <w:pPr>
              <w:ind w:left="480"/>
              <w:spacing w:after="0"/>
              <w:rPr>
                <w:sz w:val="20"/>
                <w:szCs w:val="20"/>
                <w:color w:val="auto"/>
              </w:rPr>
            </w:pPr>
            <w:r>
              <w:rPr>
                <w:rFonts w:ascii="Times New Roman" w:cs="Times New Roman" w:eastAsia="Times New Roman" w:hAnsi="Times New Roman"/>
                <w:sz w:val="17"/>
                <w:szCs w:val="17"/>
                <w:b w:val="1"/>
                <w:bCs w:val="1"/>
                <w:color w:val="auto"/>
              </w:rPr>
              <w:t xml:space="preserve">Duration </w:t>
            </w:r>
            <w:r>
              <w:rPr>
                <w:rFonts w:ascii="Times New Roman" w:cs="Times New Roman" w:eastAsia="Times New Roman" w:hAnsi="Times New Roman"/>
                <w:sz w:val="21"/>
                <w:szCs w:val="21"/>
                <w:b w:val="1"/>
                <w:bCs w:val="1"/>
                <w:color w:val="auto"/>
                <w:vertAlign w:val="superscript"/>
              </w:rPr>
              <w:t>(2)</w:t>
            </w:r>
          </w:p>
        </w:tc>
        <w:tc>
          <w:tcPr>
            <w:tcW w:w="80" w:type="dxa"/>
            <w:vAlign w:val="bottom"/>
            <w:vMerge w:val="restart"/>
          </w:tcPr>
          <w:p>
            <w:pPr>
              <w:spacing w:after="0"/>
              <w:rPr>
                <w:sz w:val="15"/>
                <w:szCs w:val="15"/>
                <w:color w:val="auto"/>
              </w:rPr>
            </w:pPr>
          </w:p>
        </w:tc>
        <w:tc>
          <w:tcPr>
            <w:tcW w:w="234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7"/>
              </w:rPr>
              <w:t>Pursuant to Trading</w:t>
            </w:r>
          </w:p>
        </w:tc>
        <w:tc>
          <w:tcPr>
            <w:tcW w:w="0" w:type="dxa"/>
            <w:vAlign w:val="bottom"/>
          </w:tcPr>
          <w:p>
            <w:pPr>
              <w:spacing w:after="0"/>
              <w:rPr>
                <w:sz w:val="1"/>
                <w:szCs w:val="1"/>
                <w:color w:val="auto"/>
              </w:rPr>
            </w:pPr>
          </w:p>
        </w:tc>
      </w:tr>
      <w:tr>
        <w:trPr>
          <w:trHeight w:val="227"/>
        </w:trPr>
        <w:tc>
          <w:tcPr>
            <w:tcW w:w="2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90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17"/>
                <w:szCs w:val="17"/>
                <w:b w:val="1"/>
                <w:bCs w:val="1"/>
                <w:color w:val="auto"/>
                <w:w w:val="95"/>
              </w:rPr>
              <w:t xml:space="preserve">Arrangement </w:t>
            </w:r>
            <w:r>
              <w:rPr>
                <w:rFonts w:ascii="Times New Roman" w:cs="Times New Roman" w:eastAsia="Times New Roman" w:hAnsi="Times New Roman"/>
                <w:sz w:val="21"/>
                <w:szCs w:val="21"/>
                <w:b w:val="1"/>
                <w:bCs w:val="1"/>
                <w:color w:val="auto"/>
                <w:w w:val="95"/>
                <w:vertAlign w:val="superscript"/>
              </w:rPr>
              <w:t>(1)</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Arrangement</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7"/>
                <w:szCs w:val="17"/>
                <w:color w:val="auto"/>
              </w:rPr>
              <w:t>Vikas Bhalla,</w:t>
            </w:r>
          </w:p>
        </w:tc>
        <w:tc>
          <w:tcPr>
            <w:tcW w:w="100" w:type="dxa"/>
            <w:vAlign w:val="bottom"/>
            <w:shd w:val="clear" w:color="auto" w:fill="CCEEFF"/>
          </w:tcPr>
          <w:p>
            <w:pPr>
              <w:spacing w:after="0"/>
              <w:rPr>
                <w:sz w:val="13"/>
                <w:szCs w:val="13"/>
                <w:color w:val="auto"/>
              </w:rPr>
            </w:pPr>
          </w:p>
        </w:tc>
        <w:tc>
          <w:tcPr>
            <w:tcW w:w="1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Rule 10b5-1</w:t>
            </w: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2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President and Head of AI Services</w:t>
            </w:r>
          </w:p>
        </w:tc>
        <w:tc>
          <w:tcPr>
            <w:tcW w:w="1980" w:type="dxa"/>
            <w:vAlign w:val="bottom"/>
            <w:gridSpan w:val="2"/>
            <w:vMerge w:val="continue"/>
            <w:shd w:val="clear" w:color="auto" w:fill="CCEEFF"/>
          </w:tcPr>
          <w:p>
            <w:pPr>
              <w:spacing w:after="0"/>
              <w:rPr>
                <w:sz w:val="14"/>
                <w:szCs w:val="14"/>
                <w:color w:val="auto"/>
              </w:rPr>
            </w:pPr>
          </w:p>
        </w:tc>
        <w:tc>
          <w:tcPr>
            <w:tcW w:w="17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March 4, 2026</w:t>
            </w:r>
          </w:p>
        </w:tc>
        <w:tc>
          <w:tcPr>
            <w:tcW w:w="18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November 24, 2026</w:t>
            </w:r>
          </w:p>
        </w:tc>
        <w:tc>
          <w:tcPr>
            <w:tcW w:w="2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67,000</w:t>
            </w:r>
          </w:p>
        </w:tc>
        <w:tc>
          <w:tcPr>
            <w:tcW w:w="0" w:type="dxa"/>
            <w:vAlign w:val="bottom"/>
          </w:tcPr>
          <w:p>
            <w:pPr>
              <w:spacing w:after="0"/>
              <w:rPr>
                <w:sz w:val="1"/>
                <w:szCs w:val="1"/>
                <w:color w:val="auto"/>
              </w:rPr>
            </w:pPr>
          </w:p>
        </w:tc>
      </w:tr>
      <w:tr>
        <w:trPr>
          <w:trHeight w:val="22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Operations</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Trading Arrangement</w:t>
            </w:r>
          </w:p>
        </w:tc>
        <w:tc>
          <w:tcPr>
            <w:tcW w:w="1740" w:type="dxa"/>
            <w:vAlign w:val="bottom"/>
            <w:gridSpan w:val="2"/>
            <w:vMerge w:val="continue"/>
            <w:shd w:val="clear" w:color="auto" w:fill="CCEEFF"/>
          </w:tcPr>
          <w:p>
            <w:pPr>
              <w:spacing w:after="0"/>
              <w:rPr>
                <w:sz w:val="19"/>
                <w:szCs w:val="19"/>
                <w:color w:val="auto"/>
              </w:rPr>
            </w:pPr>
          </w:p>
        </w:tc>
        <w:tc>
          <w:tcPr>
            <w:tcW w:w="1880" w:type="dxa"/>
            <w:vAlign w:val="bottom"/>
            <w:gridSpan w:val="2"/>
            <w:vMerge w:val="continue"/>
            <w:shd w:val="clear" w:color="auto" w:fill="CCEEFF"/>
          </w:tcPr>
          <w:p>
            <w:pPr>
              <w:spacing w:after="0"/>
              <w:rPr>
                <w:sz w:val="19"/>
                <w:szCs w:val="19"/>
                <w:color w:val="auto"/>
              </w:rPr>
            </w:pPr>
          </w:p>
        </w:tc>
        <w:tc>
          <w:tcPr>
            <w:tcW w:w="2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firstLine="488"/>
        <w:spacing w:after="0" w:line="246" w:lineRule="auto"/>
        <w:tabs>
          <w:tab w:leader="none" w:pos="7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marked as a “Rule 10b5-1 Trading Arrangement” is intended to satisfy the affirmative defense of Rule 10b5-1(c), as amended (the “Rule”).</w:t>
      </w:r>
    </w:p>
    <w:p>
      <w:pPr>
        <w:spacing w:after="0" w:line="203" w:lineRule="exact"/>
        <w:rPr>
          <w:rFonts w:ascii="Times New Roman" w:cs="Times New Roman" w:eastAsia="Times New Roman" w:hAnsi="Times New Roman"/>
          <w:sz w:val="18"/>
          <w:szCs w:val="18"/>
          <w:color w:val="auto"/>
        </w:rPr>
      </w:pPr>
    </w:p>
    <w:p>
      <w:pPr>
        <w:jc w:val="both"/>
        <w:ind w:firstLine="488"/>
        <w:spacing w:after="0" w:line="247"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permits transactions through and including the earlier to occur of (a) the completion of all sales or (b) the date listed in the table. Each trading arrangement marked as a “Rule 10b5-1 Trading Arrangement” only permits transactions upon expiration of the applicable mandatory cooling-off period under the Rule.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40" w:type="dxa"/>
            <w:vAlign w:val="bottom"/>
            <w:gridSpan w:val="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Fourth Amended and Restated Certificate of Incorporation of the Company (incorporated by reference to Exhibit 3.1 of the Company</w:t>
              </w:r>
            </w:hyperlink>
          </w:p>
        </w:tc>
      </w:tr>
      <w:tr>
        <w:trPr>
          <w:trHeight w:val="154"/>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Current Report on Form 8-K (File No. 1-33089) filed on June 25, 2024).</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r>
      <w:tr>
        <w:trPr>
          <w:trHeight w:val="27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3"/>
                <w:szCs w:val="23"/>
                <w:color w:val="auto"/>
              </w:rPr>
            </w:pPr>
          </w:p>
        </w:tc>
        <w:tc>
          <w:tcPr>
            <w:tcW w:w="9840" w:type="dxa"/>
            <w:vAlign w:val="bottom"/>
            <w:gridSpan w:val="7"/>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Sixth Amended and Restated By-laws of the Company, as in effect as of the date hereof (incorporated by reference to Exhibit 3.2 of th</w:t>
              </w:r>
            </w:hyperlink>
          </w:p>
        </w:tc>
      </w:tr>
      <w:tr>
        <w:trPr>
          <w:trHeight w:val="154"/>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Company’s Current Report on Form 8-K (File No. 1-33089) filed on June 21, 2023).</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r>
      <w:tr>
        <w:trPr>
          <w:trHeight w:val="27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98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77">
              <w:r>
                <w:rPr>
                  <w:rFonts w:ascii="Times New Roman" w:cs="Times New Roman" w:eastAsia="Times New Roman" w:hAnsi="Times New Roman"/>
                  <w:sz w:val="18"/>
                  <w:szCs w:val="18"/>
                  <w:color w:val="0000FF"/>
                  <w:w w:val="98"/>
                </w:rPr>
                <w:t>Fixed Dollar Accelerated Share Repurchase Agreement, dated March 16, 2026, between ExlService Holdings, Inc. and Morgan Stanley &amp;</w:t>
              </w:r>
            </w:hyperlink>
          </w:p>
        </w:tc>
      </w:tr>
      <w:tr>
        <w:trPr>
          <w:trHeight w:val="154"/>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gridSpan w:val="7"/>
          </w:tcPr>
          <w:p>
            <w:pPr>
              <w:spacing w:after="0" w:line="154"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Co. LLC (incorporated by reference to Exhibit 10.1 of the Company’s Current Report on Form 8-K (File No. 1-33089) filed on March 18,</w:t>
              </w:r>
            </w:hyperlink>
          </w:p>
        </w:tc>
      </w:tr>
      <w:tr>
        <w:trPr>
          <w:trHeight w:val="167"/>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77">
              <w:r>
                <w:rPr>
                  <w:rFonts w:ascii="Times New Roman" w:cs="Times New Roman" w:eastAsia="Times New Roman" w:hAnsi="Times New Roman"/>
                  <w:sz w:val="18"/>
                  <w:szCs w:val="18"/>
                  <w:color w:val="0000FF"/>
                  <w:w w:val="94"/>
                </w:rPr>
                <w:t>2026).</w:t>
              </w:r>
            </w:hyperlink>
          </w:p>
        </w:tc>
        <w:tc>
          <w:tcPr>
            <w:tcW w:w="31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38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Certification of the Chief Executive Officer of ExlService Holdings, pursuant to Rule 13a-14(a) of the Exchange Act, as adopted pursuant</w:t>
            </w:r>
          </w:p>
        </w:tc>
      </w:tr>
      <w:tr>
        <w:trPr>
          <w:trHeight w:val="154"/>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4"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r>
      <w:tr>
        <w:trPr>
          <w:trHeight w:val="27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ExlService Holdings, pursuant to Rule 13a-14(a) of the Exchange Act, as adopted pursua</w:t>
            </w:r>
          </w:p>
        </w:tc>
      </w:tr>
      <w:tr>
        <w:trPr>
          <w:trHeight w:val="154"/>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4"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r>
      <w:tr>
        <w:trPr>
          <w:trHeight w:val="27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13a-14(b) of the Exchange Act and 18 U.S.C. Section 1350, as adopte</w:t>
            </w:r>
          </w:p>
        </w:tc>
      </w:tr>
      <w:tr>
        <w:trPr>
          <w:trHeight w:val="154"/>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4"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r>
              <w:rPr>
                <w:rFonts w:ascii="Times New Roman" w:cs="Times New Roman" w:eastAsia="Times New Roman" w:hAnsi="Times New Roman"/>
                <w:sz w:val="17"/>
                <w:szCs w:val="17"/>
                <w:color w:val="000000"/>
              </w:rPr>
              <w:t>*</w:t>
            </w: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80" w:type="dxa"/>
            <w:vAlign w:val="bottom"/>
            <w:tcBorders>
              <w:right w:val="single" w:sz="8" w:color="0000FF"/>
            </w:tcBorders>
            <w:gridSpan w:val="3"/>
            <w:shd w:val="clear" w:color="auto" w:fill="0000FF"/>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r>
      <w:tr>
        <w:trPr>
          <w:trHeight w:val="27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13a-14(b) of the Exchange Act and 18 U.S.C. Section 1350, as adopte</w:t>
            </w:r>
          </w:p>
        </w:tc>
      </w:tr>
      <w:tr>
        <w:trPr>
          <w:trHeight w:val="154"/>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4"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r>
              <w:rPr>
                <w:rFonts w:ascii="Times New Roman" w:cs="Times New Roman" w:eastAsia="Times New Roman" w:hAnsi="Times New Roman"/>
                <w:sz w:val="17"/>
                <w:szCs w:val="17"/>
                <w:color w:val="000000"/>
              </w:rPr>
              <w:t>*</w:t>
            </w:r>
          </w:p>
        </w:tc>
        <w:tc>
          <w:tcPr>
            <w:tcW w:w="20" w:type="dxa"/>
            <w:vAlign w:val="bottom"/>
          </w:tcPr>
          <w:p>
            <w:pPr>
              <w:spacing w:after="0"/>
              <w:rPr>
                <w:sz w:val="13"/>
                <w:szCs w:val="13"/>
                <w:color w:val="auto"/>
              </w:rPr>
            </w:pPr>
          </w:p>
        </w:tc>
      </w:tr>
      <w:tr>
        <w:trPr>
          <w:trHeight w:val="315"/>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560" w:type="dxa"/>
            <w:vAlign w:val="bottom"/>
            <w:gridSpan w:val="4"/>
          </w:tcPr>
          <w:p>
            <w:pPr>
              <w:spacing w:after="0"/>
              <w:rPr>
                <w:sz w:val="24"/>
                <w:szCs w:val="24"/>
                <w:color w:val="auto"/>
              </w:rPr>
            </w:pPr>
          </w:p>
        </w:tc>
      </w:tr>
      <w:tr>
        <w:trPr>
          <w:trHeight w:val="28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8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8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8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8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w:t>
            </w:r>
          </w:p>
        </w:tc>
      </w:tr>
      <w:tr>
        <w:trPr>
          <w:trHeight w:val="280"/>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6" w:lineRule="exact"/>
        <w:rPr>
          <w:sz w:val="20"/>
          <w:szCs w:val="20"/>
          <w:color w:val="auto"/>
        </w:rPr>
      </w:pPr>
    </w:p>
    <w:p>
      <w:pPr>
        <w:jc w:val="both"/>
        <w:ind w:left="80" w:right="100" w:hanging="79"/>
        <w:spacing w:after="0" w:line="262"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460"/>
        <w:spacing w:after="0"/>
        <w:tabs>
          <w:tab w:leader="none" w:pos="526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7"/>
          <w:szCs w:val="17"/>
          <w:b w:val="1"/>
          <w:bCs w:val="1"/>
          <w:color w:val="auto"/>
        </w:rPr>
        <w:t>EXLSERVICE HOLDINGS, INC.</w:t>
      </w:r>
    </w:p>
    <w:p>
      <w:pPr>
        <w:spacing w:after="0" w:line="269" w:lineRule="exact"/>
        <w:rPr>
          <w:sz w:val="20"/>
          <w:szCs w:val="20"/>
          <w:color w:val="auto"/>
        </w:rPr>
      </w:pPr>
    </w:p>
    <w:p>
      <w:pPr>
        <w:ind w:left="5280"/>
        <w:spacing w:after="0"/>
        <w:tabs>
          <w:tab w:leader="none" w:pos="5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29845</wp:posOffset>
            </wp:positionV>
            <wp:extent cx="34728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472815"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MAURIZIO NICOLELLI</w:t>
      </w:r>
    </w:p>
    <w:p>
      <w:pPr>
        <w:ind w:left="5880"/>
        <w:spacing w:after="0" w:line="205"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588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17"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20" w:lineRule="exact"/>
        <w:rPr>
          <w:sz w:val="20"/>
          <w:szCs w:val="20"/>
          <w:color w:val="auto"/>
        </w:rPr>
      </w:pPr>
    </w:p>
    <w:p>
      <w:pPr>
        <w:ind w:left="400" w:hanging="393"/>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0" w:lineRule="exact"/>
        <w:rPr>
          <w:rFonts w:ascii="Times New Roman" w:cs="Times New Roman" w:eastAsia="Times New Roman" w:hAnsi="Times New Roman"/>
          <w:sz w:val="18"/>
          <w:szCs w:val="18"/>
          <w:color w:val="auto"/>
        </w:rPr>
      </w:pPr>
    </w:p>
    <w:p>
      <w:pPr>
        <w:jc w:val="both"/>
        <w:ind w:left="400" w:hanging="393"/>
        <w:spacing w:after="0" w:line="262" w:lineRule="auto"/>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400" w:hanging="393"/>
        <w:spacing w:after="0" w:line="277" w:lineRule="auto"/>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400" w:hanging="393"/>
        <w:spacing w:after="0" w:line="262" w:lineRule="auto"/>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720" w:hanging="312"/>
        <w:spacing w:after="0" w:line="262" w:lineRule="auto"/>
        <w:tabs>
          <w:tab w:leader="none" w:pos="7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720" w:hanging="312"/>
        <w:spacing w:after="0" w:line="262"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720" w:hanging="312"/>
        <w:spacing w:after="0" w:line="277" w:lineRule="auto"/>
        <w:tabs>
          <w:tab w:leader="none" w:pos="7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720" w:hanging="312"/>
        <w:spacing w:after="0" w:line="262"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400" w:hanging="393"/>
        <w:spacing w:after="0" w:line="277" w:lineRule="auto"/>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720" w:hanging="312"/>
        <w:spacing w:after="0" w:line="277" w:lineRule="auto"/>
        <w:tabs>
          <w:tab w:leader="none" w:pos="7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720" w:hanging="312"/>
        <w:spacing w:after="0" w:line="277"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15"/>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Rohit Kapoor</w:t>
            </w:r>
          </w:p>
        </w:tc>
      </w:tr>
      <w:tr>
        <w:trPr>
          <w:trHeight w:val="233"/>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87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Maurizio Nicolelli, certify that:</w:t>
      </w:r>
    </w:p>
    <w:p>
      <w:pPr>
        <w:spacing w:after="0" w:line="354" w:lineRule="exact"/>
        <w:rPr>
          <w:sz w:val="20"/>
          <w:szCs w:val="20"/>
          <w:color w:val="auto"/>
        </w:rPr>
      </w:pPr>
    </w:p>
    <w:p>
      <w:pPr>
        <w:ind w:left="400" w:hanging="393"/>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0" w:lineRule="exact"/>
        <w:rPr>
          <w:rFonts w:ascii="Times New Roman" w:cs="Times New Roman" w:eastAsia="Times New Roman" w:hAnsi="Times New Roman"/>
          <w:sz w:val="18"/>
          <w:szCs w:val="18"/>
          <w:color w:val="auto"/>
        </w:rPr>
      </w:pPr>
    </w:p>
    <w:p>
      <w:pPr>
        <w:jc w:val="both"/>
        <w:ind w:left="400" w:hanging="393"/>
        <w:spacing w:after="0" w:line="262"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400" w:hanging="393"/>
        <w:spacing w:after="0" w:line="277"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400" w:hanging="393"/>
        <w:spacing w:after="0" w:line="262"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720" w:hanging="312"/>
        <w:spacing w:after="0" w:line="262" w:lineRule="auto"/>
        <w:tabs>
          <w:tab w:leader="none" w:pos="7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720" w:hanging="312"/>
        <w:spacing w:after="0" w:line="262" w:lineRule="auto"/>
        <w:tabs>
          <w:tab w:leader="none" w:pos="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720" w:hanging="312"/>
        <w:spacing w:after="0" w:line="277" w:lineRule="auto"/>
        <w:tabs>
          <w:tab w:leader="none" w:pos="7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720" w:hanging="312"/>
        <w:spacing w:after="0" w:line="262" w:lineRule="auto"/>
        <w:tabs>
          <w:tab w:leader="none" w:pos="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400" w:hanging="393"/>
        <w:spacing w:after="0" w:line="277"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720" w:hanging="312"/>
        <w:spacing w:after="0" w:line="277" w:lineRule="auto"/>
        <w:tabs>
          <w:tab w:leader="none" w:pos="7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720" w:hanging="312"/>
        <w:spacing w:after="0" w:line="277" w:lineRule="auto"/>
        <w:tabs>
          <w:tab w:leader="none" w:pos="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3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15"/>
        </w:trPr>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33"/>
        </w:trPr>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7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2026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spacing w:after="0" w:line="217" w:lineRule="exact"/>
        <w:rPr>
          <w:sz w:val="20"/>
          <w:szCs w:val="20"/>
          <w:color w:val="auto"/>
        </w:rPr>
      </w:pPr>
    </w:p>
    <w:p>
      <w:pPr>
        <w:ind w:left="320" w:hanging="313"/>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2769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27697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Rohit Kapoor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28, 2026</w:t>
      </w:r>
    </w:p>
    <w:p>
      <w:pPr>
        <w:sectPr>
          <w:pgSz w:w="11900" w:h="16838" w:orient="portrait"/>
          <w:cols w:equalWidth="0" w:num="1">
            <w:col w:w="11240"/>
          </w:cols>
          <w:pgMar w:left="320" w:top="87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2026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7" w:lineRule="exact"/>
        <w:rPr>
          <w:sz w:val="20"/>
          <w:szCs w:val="20"/>
          <w:color w:val="auto"/>
        </w:rPr>
      </w:pPr>
    </w:p>
    <w:p>
      <w:pPr>
        <w:ind w:left="320" w:hanging="313"/>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4885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488569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28, 2026</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2"/>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lvl w:ilvl="1">
      <w:lvlJc w:val="left"/>
      <w:lvlText w:val="(%2)"/>
      <w:numFmt w:val="decimal"/>
      <w:start w:val="1"/>
    </w:lvl>
  </w:abstractNum>
  <w:abstractNum w:abstractNumId="10">
    <w:nsid w:val="3F2DBA31"/>
    <w:multiLevelType w:val="hybridMultilevel"/>
    <w:lvl w:ilvl="0">
      <w:lvlJc w:val="left"/>
      <w:lvlText w:val="%1."/>
      <w:numFmt w:val="decimal"/>
      <w:start w:val="7"/>
    </w:lvl>
    <w:lvl w:ilvl="1">
      <w:lvlJc w:val="left"/>
      <w:lvlText w:val="%2"/>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lvl w:ilvl="1">
      <w:lvlJc w:val="left"/>
      <w:lvlText w:val="(%2)"/>
      <w:numFmt w:val="decimal"/>
      <w:start w:val="1"/>
    </w:lvl>
  </w:abstractNum>
  <w:abstractNum w:abstractNumId="13">
    <w:nsid w:val="62BBD95A"/>
    <w:multiLevelType w:val="hybridMultilevel"/>
    <w:lvl w:ilvl="0">
      <w:lvlJc w:val="left"/>
      <w:lvlText w:val="%1."/>
      <w:numFmt w:val="decimal"/>
      <w:start w:val="16"/>
    </w:lvl>
    <w:lvl w:ilvl="1">
      <w:lvlJc w:val="left"/>
      <w:lvlText w:val="%2"/>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5" Type="http://schemas.openxmlformats.org/officeDocument/2006/relationships/hyperlink" Target="https://www.sec.gov/Archives/edgar/data/1297989/000110465924074734/tm2417789d1_ex3-1.htm" TargetMode="External"/><Relationship Id="rId76" Type="http://schemas.openxmlformats.org/officeDocument/2006/relationships/hyperlink" Target="https://www.sec.gov/Archives/edgar/data/1297989/000119312523171321/d523950dex32.htm" TargetMode="External"/><Relationship Id="rId77" Type="http://schemas.openxmlformats.org/officeDocument/2006/relationships/hyperlink" Target="https://www.sec.gov/Archives/edgar/data/1297989/000110465926030831/tm26920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2026-04-28T16:13:09Z</dcterms:created>
  <dcterms:modified xsi:type="dcterms:W3CDTF">2026-04-28T16:13:09Z</dcterms:modified>
</cp:coreProperties>
</file>