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16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166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77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Bloom William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02/07/2012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779"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77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1"/>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78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7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298"/>
              <w:spacing w:after="0"/>
              <w:rPr>
                <w:sz w:val="20"/>
                <w:szCs w:val="20"/>
                <w:color w:val="auto"/>
              </w:rPr>
            </w:pPr>
            <w:r>
              <w:rPr>
                <w:rFonts w:ascii="Arial" w:cs="Arial" w:eastAsia="Arial" w:hAnsi="Arial"/>
                <w:sz w:val="17"/>
                <w:szCs w:val="17"/>
                <w:color w:val="0000FF"/>
              </w:rPr>
              <w:t>26,733</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jc w:val="center"/>
              <w:ind w:righ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3,730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02/07/2012</w:t>
            </w:r>
          </w:p>
        </w:tc>
        <w:tc>
          <w:tcPr>
            <w:tcW w:w="1180" w:type="dxa"/>
            <w:vAlign w:val="bottom"/>
          </w:tcPr>
          <w:p>
            <w:pPr>
              <w:spacing w:after="0"/>
              <w:rPr>
                <w:sz w:val="5"/>
                <w:szCs w:val="5"/>
                <w:color w:val="auto"/>
              </w:rPr>
            </w:pPr>
          </w:p>
        </w:tc>
        <w:tc>
          <w:tcPr>
            <w:tcW w:w="78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ind w:left="18"/>
              <w:spacing w:after="0" w:line="148" w:lineRule="exact"/>
              <w:rPr>
                <w:sz w:val="20"/>
                <w:szCs w:val="20"/>
                <w:color w:val="auto"/>
              </w:rPr>
            </w:pPr>
            <w:r>
              <w:rPr>
                <w:rFonts w:ascii="Arial" w:cs="Arial" w:eastAsia="Arial" w:hAnsi="Arial"/>
                <w:sz w:val="13"/>
                <w:szCs w:val="13"/>
                <w:color w:val="0000FF"/>
                <w:w w:val="92"/>
              </w:rPr>
              <w:t>3,730</w:t>
            </w: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02/07/2022</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80" w:type="dxa"/>
            <w:vAlign w:val="bottom"/>
            <w:gridSpan w:val="2"/>
            <w:vMerge w:val="restart"/>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jc w:val="center"/>
              <w:ind w:left="178"/>
              <w:spacing w:after="0" w:line="148" w:lineRule="exact"/>
              <w:rPr>
                <w:sz w:val="20"/>
                <w:szCs w:val="20"/>
                <w:color w:val="auto"/>
              </w:rPr>
            </w:pPr>
            <w:r>
              <w:rPr>
                <w:rFonts w:ascii="Arial" w:cs="Arial" w:eastAsia="Arial" w:hAnsi="Arial"/>
                <w:sz w:val="13"/>
                <w:szCs w:val="13"/>
                <w:color w:val="0000FF"/>
                <w:w w:val="92"/>
              </w:rPr>
              <w:t>3,730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ind w:right="11"/>
              <w:spacing w:after="0"/>
              <w:rPr>
                <w:sz w:val="20"/>
                <w:szCs w:val="20"/>
                <w:color w:val="auto"/>
              </w:rPr>
            </w:pPr>
            <w:r>
              <w:rPr>
                <w:rFonts w:ascii="Arial" w:cs="Arial" w:eastAsia="Arial" w:hAnsi="Arial"/>
                <w:sz w:val="17"/>
                <w:szCs w:val="17"/>
                <w:color w:val="0000FF"/>
                <w:w w:val="92"/>
              </w:rPr>
              <w:t>32,500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24.77</w:t>
            </w:r>
          </w:p>
        </w:tc>
        <w:tc>
          <w:tcPr>
            <w:tcW w:w="1080" w:type="dxa"/>
            <w:vAlign w:val="bottom"/>
          </w:tcPr>
          <w:p>
            <w:pPr>
              <w:jc w:val="center"/>
              <w:spacing w:after="0" w:line="148" w:lineRule="exact"/>
              <w:rPr>
                <w:sz w:val="20"/>
                <w:szCs w:val="20"/>
                <w:color w:val="auto"/>
              </w:rPr>
            </w:pPr>
            <w:r>
              <w:rPr>
                <w:rFonts w:ascii="Arial" w:cs="Arial" w:eastAsia="Arial" w:hAnsi="Arial"/>
                <w:sz w:val="13"/>
                <w:szCs w:val="13"/>
                <w:color w:val="0000FF"/>
                <w:w w:val="95"/>
              </w:rPr>
              <w:t>02/07/2012</w:t>
            </w:r>
          </w:p>
        </w:tc>
        <w:tc>
          <w:tcPr>
            <w:tcW w:w="1180" w:type="dxa"/>
            <w:vAlign w:val="bottom"/>
          </w:tcPr>
          <w:p>
            <w:pPr>
              <w:spacing w:after="0"/>
              <w:rPr>
                <w:sz w:val="12"/>
                <w:szCs w:val="12"/>
                <w:color w:val="auto"/>
              </w:rPr>
            </w:pPr>
          </w:p>
        </w:tc>
        <w:tc>
          <w:tcPr>
            <w:tcW w:w="78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0000FF"/>
                <w:w w:val="90"/>
              </w:rPr>
              <w:t>32,500</w:t>
            </w: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02/07/2022</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80" w:type="dxa"/>
            <w:vAlign w:val="bottom"/>
            <w:gridSpan w:val="2"/>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jc w:val="center"/>
              <w:ind w:left="158"/>
              <w:spacing w:after="0" w:line="148" w:lineRule="exact"/>
              <w:rPr>
                <w:sz w:val="20"/>
                <w:szCs w:val="20"/>
                <w:color w:val="auto"/>
              </w:rPr>
            </w:pPr>
            <w:r>
              <w:rPr>
                <w:rFonts w:ascii="Arial" w:cs="Arial" w:eastAsia="Arial" w:hAnsi="Arial"/>
                <w:sz w:val="13"/>
                <w:szCs w:val="13"/>
                <w:color w:val="0000FF"/>
                <w:w w:val="90"/>
              </w:rPr>
              <w:t>32,500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ind w:right="11"/>
              <w:spacing w:after="0"/>
              <w:rPr>
                <w:sz w:val="20"/>
                <w:szCs w:val="20"/>
                <w:color w:val="auto"/>
              </w:rPr>
            </w:pPr>
            <w:r>
              <w:rPr>
                <w:rFonts w:ascii="Arial" w:cs="Arial" w:eastAsia="Arial" w:hAnsi="Arial"/>
                <w:sz w:val="17"/>
                <w:szCs w:val="17"/>
                <w:color w:val="0000FF"/>
                <w:w w:val="92"/>
              </w:rPr>
              <w:t>12,500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02/07/2012</w:t>
            </w:r>
          </w:p>
        </w:tc>
        <w:tc>
          <w:tcPr>
            <w:tcW w:w="1180" w:type="dxa"/>
            <w:vAlign w:val="bottom"/>
          </w:tcPr>
          <w:p>
            <w:pPr>
              <w:spacing w:after="0"/>
              <w:rPr>
                <w:sz w:val="5"/>
                <w:szCs w:val="5"/>
                <w:color w:val="auto"/>
              </w:rPr>
            </w:pPr>
          </w:p>
        </w:tc>
        <w:tc>
          <w:tcPr>
            <w:tcW w:w="78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0"/>
              </w:rPr>
              <w:t>12,500</w:t>
            </w: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02/07/2022</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80" w:type="dxa"/>
            <w:vAlign w:val="bottom"/>
            <w:gridSpan w:val="2"/>
            <w:vMerge w:val="restart"/>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jc w:val="center"/>
              <w:ind w:left="158"/>
              <w:spacing w:after="0" w:line="148" w:lineRule="exact"/>
              <w:rPr>
                <w:sz w:val="20"/>
                <w:szCs w:val="20"/>
                <w:color w:val="auto"/>
              </w:rPr>
            </w:pPr>
            <w:r>
              <w:rPr>
                <w:rFonts w:ascii="Arial" w:cs="Arial" w:eastAsia="Arial" w:hAnsi="Arial"/>
                <w:sz w:val="13"/>
                <w:szCs w:val="13"/>
                <w:color w:val="0000FF"/>
                <w:w w:val="90"/>
              </w:rPr>
              <w:t>12,500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20"/>
        <w:spacing w:after="0"/>
        <w:rPr>
          <w:sz w:val="20"/>
          <w:szCs w:val="20"/>
          <w:color w:val="auto"/>
        </w:rPr>
      </w:pPr>
      <w:r>
        <w:rPr>
          <w:rFonts w:ascii="Arial" w:cs="Arial" w:eastAsia="Arial" w:hAnsi="Arial"/>
          <w:sz w:val="13"/>
          <w:szCs w:val="13"/>
          <w:color w:val="0000FF"/>
        </w:rPr>
        <w:t>per share</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 an adjustment of 30 shares of common stock due to typo error.</w:t>
      </w:r>
    </w:p>
    <w:p>
      <w:pPr>
        <w:spacing w:after="0" w:line="51"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will vest in three equal annual installments, beginning on February 7, 2013. Vesting of some or all of the restricted stock may be accelerated upon or in connection with the occurrence of a "Change in Control" as such term is defined in agreement governing the grant of the restricted stock.</w:t>
      </w:r>
    </w:p>
    <w:p>
      <w:pPr>
        <w:spacing w:after="0" w:line="9" w:lineRule="exact"/>
        <w:rPr>
          <w:rFonts w:ascii="Arial" w:cs="Arial" w:eastAsia="Arial" w:hAnsi="Arial"/>
          <w:sz w:val="13"/>
          <w:szCs w:val="13"/>
          <w:color w:val="008000"/>
        </w:rPr>
      </w:pPr>
    </w:p>
    <w:p>
      <w:pPr>
        <w:ind w:left="40" w:right="3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 percent of the options will vest and become exercisable on February 7, 2013; an additional 20 percent of the options will vest and become exercisable on February 7, 2014; an additional 30 percent of the options will vest and become exercisable on February 7, 2015; and the remaining 40 percent of the options will vest and become exercisable on February 7, 2016. Vesting will be accelerated upon certain terminations of employment and upon a change in control (as defined in the ExlService Holdings, Inc. 2006 Omnibus Award Plan).</w:t>
      </w:r>
    </w:p>
    <w:p>
      <w:pPr>
        <w:spacing w:after="0" w:line="21" w:lineRule="exact"/>
        <w:rPr>
          <w:rFonts w:ascii="Arial" w:cs="Arial" w:eastAsia="Arial" w:hAnsi="Arial"/>
          <w:sz w:val="13"/>
          <w:szCs w:val="13"/>
          <w:color w:val="008000"/>
        </w:rPr>
      </w:pPr>
    </w:p>
    <w:p>
      <w:pPr>
        <w:ind w:left="40" w:right="34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7, 2013; an additional 20 percent will vest on February 7, 2014; an additional 30 percent will vest on February 7, 2015; and the remaining 40 percent will vest on February 7, 2016.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02/09/2012</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7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2019-12-16T15:23:22Z</dcterms:created>
  <dcterms:modified xsi:type="dcterms:W3CDTF">2019-12-16T15:23:22Z</dcterms:modified>
</cp:coreProperties>
</file>