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34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000" w:type="dxa"/>
        <w:tblCellMar>
          <w:top w:w="0" w:type="dxa"/>
          <w:left w:w="0" w:type="dxa"/>
          <w:bottom w:w="0" w:type="dxa"/>
          <w:right w:w="0" w:type="dxa"/>
        </w:tblCellMar>
      </w:tblPr>
      <w:tr>
        <w:trPr>
          <w:trHeight w:val="218"/>
        </w:trPr>
        <w:tc>
          <w:tcPr>
            <w:tcW w:w="6700" w:type="dxa"/>
            <w:vAlign w:val="bottom"/>
          </w:tcPr>
          <w:p>
            <w:pPr>
              <w:jc w:val="center"/>
              <w:ind w:right="2904"/>
              <w:spacing w:after="0"/>
              <w:rPr>
                <w:sz w:val="20"/>
                <w:szCs w:val="20"/>
                <w:color w:val="auto"/>
              </w:rPr>
            </w:pPr>
            <w:r>
              <w:rPr>
                <w:rFonts w:ascii="Arial" w:cs="Arial" w:eastAsia="Arial" w:hAnsi="Arial"/>
                <w:sz w:val="18"/>
                <w:szCs w:val="18"/>
                <w:b w:val="1"/>
                <w:bCs w:val="1"/>
                <w:color w:val="auto"/>
                <w:w w:val="96"/>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700" w:type="dxa"/>
            <w:vAlign w:val="bottom"/>
          </w:tcPr>
          <w:p>
            <w:pPr>
              <w:jc w:val="center"/>
              <w:ind w:right="290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700" w:type="dxa"/>
            <w:vAlign w:val="bottom"/>
          </w:tcPr>
          <w:p>
            <w:pPr>
              <w:jc w:val="center"/>
              <w:ind w:right="290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700" w:type="dxa"/>
            <w:vAlign w:val="bottom"/>
          </w:tcPr>
          <w:p>
            <w:pPr>
              <w:jc w:val="center"/>
              <w:ind w:right="2904"/>
              <w:spacing w:after="0"/>
              <w:rPr>
                <w:sz w:val="20"/>
                <w:szCs w:val="20"/>
                <w:color w:val="auto"/>
              </w:rPr>
            </w:pPr>
            <w:r>
              <w:rPr>
                <w:rFonts w:ascii="Arial" w:cs="Arial" w:eastAsia="Arial" w:hAnsi="Arial"/>
                <w:sz w:val="18"/>
                <w:szCs w:val="18"/>
                <w:b w:val="1"/>
                <w:bCs w:val="1"/>
                <w:color w:val="auto"/>
                <w:w w:val="96"/>
              </w:rPr>
              <w:t>350 PARK AVENUE, NEW YORK, NEW YORK</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6700" w:type="dxa"/>
            <w:vAlign w:val="bottom"/>
          </w:tcPr>
          <w:p>
            <w:pPr>
              <w:jc w:val="center"/>
              <w:ind w:right="290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6"/>
              </w:rPr>
              <w:t>(Zip code)</w:t>
            </w:r>
          </w:p>
        </w:tc>
      </w:tr>
      <w:tr>
        <w:trPr>
          <w:trHeight w:val="352"/>
        </w:trPr>
        <w:tc>
          <w:tcPr>
            <w:tcW w:w="6700" w:type="dxa"/>
            <w:vAlign w:val="bottom"/>
          </w:tcPr>
          <w:p>
            <w:pPr>
              <w:jc w:val="right"/>
              <w:ind w:right="1364"/>
              <w:spacing w:after="0"/>
              <w:rPr>
                <w:sz w:val="20"/>
                <w:szCs w:val="20"/>
                <w:color w:val="auto"/>
              </w:rPr>
            </w:pPr>
            <w:r>
              <w:rPr>
                <w:rFonts w:ascii="Arial" w:cs="Arial" w:eastAsia="Arial" w:hAnsi="Arial"/>
                <w:sz w:val="18"/>
                <w:szCs w:val="18"/>
                <w:b w:val="1"/>
                <w:bCs w:val="1"/>
                <w:color w:val="auto"/>
              </w:rPr>
              <w:t>(212) 277-7100</w:t>
            </w:r>
          </w:p>
        </w:tc>
        <w:tc>
          <w:tcPr>
            <w:tcW w:w="1520" w:type="dxa"/>
            <w:vAlign w:val="bottom"/>
          </w:tcPr>
          <w:p>
            <w:pPr>
              <w:spacing w:after="0"/>
              <w:rPr>
                <w:sz w:val="24"/>
                <w:szCs w:val="24"/>
                <w:color w:val="auto"/>
              </w:rPr>
            </w:pPr>
          </w:p>
        </w:tc>
      </w:tr>
      <w:tr>
        <w:trPr>
          <w:trHeight w:val="174"/>
        </w:trPr>
        <w:tc>
          <w:tcPr>
            <w:tcW w:w="6700" w:type="dxa"/>
            <w:vAlign w:val="bottom"/>
          </w:tcPr>
          <w:p>
            <w:pPr>
              <w:jc w:val="center"/>
              <w:ind w:left="264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6"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line="370"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8" w:lineRule="exact"/>
        <w:rPr>
          <w:sz w:val="24"/>
          <w:szCs w:val="24"/>
          <w:color w:val="auto"/>
        </w:rPr>
      </w:pPr>
    </w:p>
    <w:p>
      <w:pPr>
        <w:sectPr>
          <w:pgSz w:w="11900" w:h="16838" w:orient="portrait"/>
          <w:cols w:equalWidth="0" w:num="4">
            <w:col w:w="1580" w:space="340"/>
            <w:col w:w="5440" w:space="720"/>
            <w:col w:w="2460" w:space="720"/>
            <w:col w:w="160"/>
          </w:cols>
          <w:pgMar w:left="240" w:top="230" w:right="239" w:bottom="1440" w:gutter="0" w:footer="0" w:header="0"/>
          <w:type w:val="continuous"/>
        </w:sect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20" w:firstLine="456"/>
        <w:spacing w:after="0" w:line="268" w:lineRule="auto"/>
        <w:rPr>
          <w:sz w:val="20"/>
          <w:szCs w:val="20"/>
          <w:color w:val="auto"/>
        </w:rPr>
      </w:pPr>
      <w:r>
        <w:rPr>
          <w:rFonts w:ascii="Arial" w:cs="Arial" w:eastAsia="Arial" w:hAnsi="Arial"/>
          <w:sz w:val="18"/>
          <w:szCs w:val="18"/>
          <w:color w:val="auto"/>
        </w:rPr>
        <w:t>As of October 31, 2009, there were 28,957,823 shares of the registrant’s common stock outstanding (excluding 247,030 shares held in treasury and 391,184 shares of restricted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w:t>
            </w:r>
          </w:p>
        </w:tc>
        <w:tc>
          <w:tcPr>
            <w:tcW w:w="3000" w:type="dxa"/>
            <w:vAlign w:val="bottom"/>
            <w:gridSpan w:val="9"/>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040" w:type="dxa"/>
            <w:vAlign w:val="bottom"/>
            <w:gridSpan w:val="9"/>
            <w:vMerge w:val="restart"/>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74"/>
        </w:trPr>
        <w:tc>
          <w:tcPr>
            <w:tcW w:w="1000" w:type="dxa"/>
            <w:vAlign w:val="bottom"/>
            <w:gridSpan w:val="2"/>
            <w:vMerge w:val="continue"/>
          </w:tcPr>
          <w:p>
            <w:pPr>
              <w:spacing w:after="0"/>
              <w:rPr>
                <w:sz w:val="14"/>
                <w:szCs w:val="14"/>
                <w:color w:val="auto"/>
              </w:rPr>
            </w:pPr>
          </w:p>
        </w:tc>
        <w:tc>
          <w:tcPr>
            <w:tcW w:w="3000" w:type="dxa"/>
            <w:vAlign w:val="bottom"/>
            <w:tcBorders>
              <w:bottom w:val="single" w:sz="8" w:color="0000EE"/>
            </w:tcBorders>
            <w:gridSpan w:val="9"/>
            <w:vMerge w:val="continue"/>
          </w:tcPr>
          <w:p>
            <w:pPr>
              <w:spacing w:after="0"/>
              <w:rPr>
                <w:sz w:val="14"/>
                <w:szCs w:val="14"/>
                <w:color w:val="auto"/>
              </w:rPr>
            </w:pPr>
          </w:p>
        </w:tc>
        <w:tc>
          <w:tcPr>
            <w:tcW w:w="7040" w:type="dxa"/>
            <w:vAlign w:val="bottom"/>
            <w:gridSpan w:val="9"/>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004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0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(Unaudited) as of September 30, 2009 and December 31, 2008</w:t>
              </w:r>
            </w:hyperlink>
          </w:p>
        </w:tc>
        <w:tc>
          <w:tcPr>
            <w:tcW w:w="3540" w:type="dxa"/>
            <w:vAlign w:val="bottom"/>
            <w:gridSpan w:val="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2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Income (Unaudited) for the Three Months Ended and Nine months Ended September 30, 2009 and 2008</w:t>
              </w:r>
            </w:hyperlink>
          </w:p>
        </w:tc>
        <w:tc>
          <w:tcPr>
            <w:tcW w:w="7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Cash Flows (Unaudited) for the Nine months Ended September 30, 2009 and 2008</w:t>
              </w:r>
            </w:hyperlink>
          </w:p>
        </w:tc>
        <w:tc>
          <w:tcPr>
            <w:tcW w:w="220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Consolidated Financial Statements (Unaudited)</w:t>
              </w:r>
            </w:hyperlink>
          </w:p>
        </w:tc>
        <w:tc>
          <w:tcPr>
            <w:tcW w:w="6060" w:type="dxa"/>
            <w:vAlign w:val="bottom"/>
            <w:gridSpan w:val="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1004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40" w:type="dxa"/>
            <w:vAlign w:val="bottom"/>
            <w:gridSpan w:val="4"/>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1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29">
              <w:r>
                <w:rPr>
                  <w:rFonts w:ascii="Arial" w:cs="Arial" w:eastAsia="Arial" w:hAnsi="Arial"/>
                  <w:sz w:val="18"/>
                  <w:szCs w:val="18"/>
                  <w:color w:val="0000EE"/>
                  <w:w w:val="86"/>
                </w:rPr>
                <w:t>Controls and Procedures</w:t>
              </w:r>
            </w:hyperlink>
          </w:p>
        </w:tc>
        <w:tc>
          <w:tcPr>
            <w:tcW w:w="8300" w:type="dxa"/>
            <w:vAlign w:val="bottom"/>
            <w:gridSpan w:val="1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40" w:type="dxa"/>
            <w:vAlign w:val="bottom"/>
            <w:gridSpan w:val="18"/>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2700" w:type="dxa"/>
            <w:vAlign w:val="bottom"/>
            <w:tcBorders>
              <w:top w:val="single" w:sz="8" w:color="0000EE"/>
            </w:tcBorders>
            <w:gridSpan w:val="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7340" w:type="dxa"/>
            <w:vAlign w:val="bottom"/>
            <w:gridSpan w:val="10"/>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Risk Factors</w:t>
              </w:r>
            </w:hyperlink>
          </w:p>
        </w:tc>
        <w:tc>
          <w:tcPr>
            <w:tcW w:w="400" w:type="dxa"/>
            <w:vAlign w:val="bottom"/>
            <w:tcBorders>
              <w:top w:val="single" w:sz="8" w:color="0000EE"/>
            </w:tcBorders>
            <w:gridSpan w:val="2"/>
          </w:tcPr>
          <w:p>
            <w:pPr>
              <w:spacing w:after="0"/>
              <w:rPr>
                <w:sz w:val="24"/>
                <w:szCs w:val="24"/>
                <w:color w:val="auto"/>
              </w:rPr>
            </w:pPr>
          </w:p>
        </w:tc>
        <w:tc>
          <w:tcPr>
            <w:tcW w:w="8740" w:type="dxa"/>
            <w:vAlign w:val="bottom"/>
            <w:gridSpan w:val="14"/>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1004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5"/>
          </w:tcPr>
          <w:p>
            <w:pPr>
              <w:spacing w:after="0"/>
              <w:rPr>
                <w:sz w:val="24"/>
                <w:szCs w:val="24"/>
                <w:color w:val="auto"/>
              </w:rPr>
            </w:pPr>
          </w:p>
        </w:tc>
        <w:tc>
          <w:tcPr>
            <w:tcW w:w="5800" w:type="dxa"/>
            <w:vAlign w:val="bottom"/>
            <w:gridSpan w:val="6"/>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1004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Submission of Matters to a Vote of Security Holders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c>
          <w:tcPr>
            <w:tcW w:w="3680" w:type="dxa"/>
            <w:vAlign w:val="bottom"/>
            <w:tcBorders>
              <w:top w:val="single" w:sz="8" w:color="0000EE"/>
            </w:tcBorders>
            <w:gridSpan w:val="1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6360" w:type="dxa"/>
            <w:vAlign w:val="bottom"/>
            <w:gridSpan w:val="8"/>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760" w:type="dxa"/>
            <w:vAlign w:val="bottom"/>
            <w:gridSpan w:val="1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300" w:type="dxa"/>
            <w:vAlign w:val="bottom"/>
            <w:gridSpan w:val="14"/>
          </w:tcPr>
          <w:p>
            <w:pPr>
              <w:ind w:left="46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980" w:type="dxa"/>
            <w:vAlign w:val="bottom"/>
          </w:tcPr>
          <w:p>
            <w:pPr>
              <w:jc w:val="center"/>
              <w:ind w:left="1472"/>
              <w:spacing w:after="0"/>
              <w:rPr>
                <w:sz w:val="20"/>
                <w:szCs w:val="20"/>
                <w:color w:val="auto"/>
              </w:rPr>
            </w:pPr>
            <w:r>
              <w:rPr>
                <w:rFonts w:ascii="Arial" w:cs="Arial" w:eastAsia="Arial" w:hAnsi="Arial"/>
                <w:sz w:val="18"/>
                <w:szCs w:val="18"/>
                <w:b w:val="1"/>
                <w:bCs w:val="1"/>
                <w:color w:val="auto"/>
                <w:w w:val="99"/>
              </w:rPr>
              <w:t>PART I. FINANCIAL INFORMATION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98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80" w:type="dxa"/>
            <w:vAlign w:val="bottom"/>
          </w:tcPr>
          <w:p>
            <w:pPr>
              <w:jc w:val="center"/>
              <w:ind w:left="1472"/>
              <w:spacing w:after="0"/>
              <w:rPr>
                <w:sz w:val="20"/>
                <w:szCs w:val="20"/>
                <w:color w:val="auto"/>
              </w:rPr>
            </w:pPr>
            <w:r>
              <w:rPr>
                <w:rFonts w:ascii="Arial" w:cs="Arial" w:eastAsia="Arial" w:hAnsi="Arial"/>
                <w:sz w:val="18"/>
                <w:szCs w:val="18"/>
                <w:b w:val="1"/>
                <w:bCs w:val="1"/>
                <w:color w:val="auto"/>
                <w:w w:val="99"/>
              </w:rPr>
              <w:t>EXLSERVICE HOLDINGS, INC.</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80" w:type="dxa"/>
            <w:vAlign w:val="bottom"/>
          </w:tcPr>
          <w:p>
            <w:pPr>
              <w:jc w:val="center"/>
              <w:ind w:left="1492"/>
              <w:spacing w:after="0"/>
              <w:rPr>
                <w:sz w:val="20"/>
                <w:szCs w:val="20"/>
                <w:color w:val="auto"/>
              </w:rPr>
            </w:pPr>
            <w:r>
              <w:rPr>
                <w:rFonts w:ascii="Arial" w:cs="Arial" w:eastAsia="Arial" w:hAnsi="Arial"/>
                <w:sz w:val="18"/>
                <w:szCs w:val="18"/>
                <w:b w:val="1"/>
                <w:bCs w:val="1"/>
                <w:color w:val="auto"/>
                <w:w w:val="96"/>
              </w:rPr>
              <w:t>CONSOLIDATED BALANCE SHEETS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80" w:type="dxa"/>
            <w:vAlign w:val="bottom"/>
          </w:tcPr>
          <w:p>
            <w:pPr>
              <w:jc w:val="center"/>
              <w:ind w:left="1472"/>
              <w:spacing w:after="0"/>
              <w:rPr>
                <w:sz w:val="20"/>
                <w:szCs w:val="20"/>
                <w:color w:val="auto"/>
              </w:rPr>
            </w:pPr>
            <w:r>
              <w:rPr>
                <w:rFonts w:ascii="Arial" w:cs="Arial" w:eastAsia="Arial" w:hAnsi="Arial"/>
                <w:sz w:val="18"/>
                <w:szCs w:val="18"/>
                <w:b w:val="1"/>
                <w:bCs w:val="1"/>
                <w:color w:val="auto"/>
                <w:w w:val="89"/>
              </w:rPr>
              <w:t>(Unaudited)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980" w:type="dxa"/>
            <w:vAlign w:val="bottom"/>
          </w:tcPr>
          <w:p>
            <w:pPr>
              <w:jc w:val="center"/>
              <w:ind w:left="147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117,510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for doubtful accounts of $259 at September 30, 2009 and $128 at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gridSpan w:val="2"/>
          </w:tcPr>
          <w:p>
            <w:pPr>
              <w:ind w:left="640"/>
              <w:spacing w:after="0"/>
              <w:rPr>
                <w:sz w:val="20"/>
                <w:szCs w:val="20"/>
                <w:color w:val="auto"/>
              </w:rPr>
            </w:pPr>
            <w:r>
              <w:rPr>
                <w:rFonts w:ascii="Arial" w:cs="Arial" w:eastAsia="Arial" w:hAnsi="Arial"/>
                <w:sz w:val="18"/>
                <w:szCs w:val="18"/>
                <w:color w:val="auto"/>
              </w:rPr>
              <w:t>December 31, 2008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31,578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Advance income-tax, net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3"/>
            <w:vMerge w:val="restart"/>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159,352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157,877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Fixed assets, net of accumulated depreciation of $35,787 at September 30, 2009 and $27,727 at December 31, 2008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Goodwill</w:t>
            </w:r>
          </w:p>
        </w:tc>
        <w:tc>
          <w:tcPr>
            <w:tcW w:w="7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19,595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3,744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w w:val="88"/>
              </w:rPr>
              <w:t>Other assets</w:t>
            </w:r>
          </w:p>
        </w:tc>
        <w:tc>
          <w:tcPr>
            <w:tcW w:w="7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assets</w:t>
            </w:r>
          </w:p>
        </w:tc>
        <w:tc>
          <w:tcPr>
            <w:tcW w:w="7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224,338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2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2,254</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Accrued employee cost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12,176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3"/>
            <w:vMerge w:val="restart"/>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29,966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2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33,399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w w:val="92"/>
              </w:rPr>
              <w:t>Common stock, $0.001 par value; 100,000,000 shares authorized, 29,179,013 shares issued and outstanding as of</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gridSpan w:val="2"/>
          </w:tcPr>
          <w:p>
            <w:pPr>
              <w:ind w:left="640"/>
              <w:spacing w:after="0"/>
              <w:rPr>
                <w:sz w:val="20"/>
                <w:szCs w:val="20"/>
                <w:color w:val="auto"/>
              </w:rPr>
            </w:pPr>
            <w:r>
              <w:rPr>
                <w:rFonts w:ascii="Arial" w:cs="Arial" w:eastAsia="Arial" w:hAnsi="Arial"/>
                <w:sz w:val="18"/>
                <w:szCs w:val="18"/>
                <w:color w:val="auto"/>
              </w:rPr>
              <w:t>September 30, 2009 and 29,054,145 shares issued and outstanding as of December 31, 2008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122,308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78,150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191,915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172,235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8"/>
              </w:rPr>
              <w:t>Less: 247,030 shares as of September 30, 2009 and 237,080 shares as of December 31, 2008, held in treasury, at cost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
        </w:trPr>
        <w:tc>
          <w:tcPr>
            <w:tcW w:w="8920" w:type="dxa"/>
            <w:vAlign w:val="bottom"/>
            <w:gridSpan w:val="3"/>
            <w:vMerge w:val="restart"/>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2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190,939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171,332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224,338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9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2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131,557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28,803</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78,986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51,117</w:t>
            </w:r>
          </w:p>
        </w:tc>
        <w:tc>
          <w:tcPr>
            <w:tcW w:w="0" w:type="dxa"/>
            <w:vAlign w:val="bottom"/>
          </w:tcPr>
          <w:p>
            <w:pPr>
              <w:spacing w:after="0"/>
              <w:rPr>
                <w:sz w:val="1"/>
                <w:szCs w:val="1"/>
                <w:color w:val="auto"/>
              </w:rPr>
            </w:pPr>
          </w:p>
        </w:tc>
      </w:tr>
      <w:tr>
        <w:trPr>
          <w:trHeight w:val="222"/>
        </w:trPr>
        <w:tc>
          <w:tcPr>
            <w:tcW w:w="5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10,040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14,204</w:t>
            </w:r>
          </w:p>
        </w:tc>
        <w:tc>
          <w:tcPr>
            <w:tcW w:w="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13,262</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40,314</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income/(expense):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(1,995)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(6,637)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continuing operations before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to common stockholders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10,989</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Earnings/(loss) per share (a):</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Continuing operations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0.29</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0.28</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Continuing operations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0.28</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0.28</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Weighted-average number of shares used in computing earnings per share: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28,930,344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28,846,137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28,893,515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28,801,102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29,368,390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29,127,304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29,202,856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29,257,254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Per share amounts may not foot due to rounding.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9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8,129</w:t>
            </w:r>
          </w:p>
        </w:tc>
        <w:tc>
          <w:tcPr>
            <w:tcW w:w="2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employee stock options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Unrealized foreign exchange (gain)/loss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Excess tax benefit from stock-based compensation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(4,458)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Other assets and liabilities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 continuing operations</w:t>
            </w: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16,259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cash provided by operating activities - discontinued operations</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18,418</w:t>
            </w:r>
          </w:p>
        </w:tc>
        <w:tc>
          <w:tcPr>
            <w:tcW w:w="0" w:type="dxa"/>
            <w:vAlign w:val="bottom"/>
          </w:tcPr>
          <w:p>
            <w:pPr>
              <w:spacing w:after="0"/>
              <w:rPr>
                <w:sz w:val="1"/>
                <w:szCs w:val="1"/>
                <w:color w:val="auto"/>
              </w:rPr>
            </w:pPr>
          </w:p>
        </w:tc>
      </w:tr>
      <w:tr>
        <w:trPr>
          <w:trHeight w:val="329"/>
        </w:trPr>
        <w:tc>
          <w:tcPr>
            <w:tcW w:w="87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Business acquisition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(3,505)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Proceeds from redemption of short-term investments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discontinued operations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2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 - continuing operations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(11,906)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(13,854)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 - discontinued operations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Net cash used for investing activities</w:t>
            </w: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2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(11,906)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(13,894)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Excess tax benefit from stock-based compensation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Net increase/(decrease) in cash and cash equivalents</w:t>
            </w: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2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w w:val="98"/>
              </w:rPr>
              <w:t>Cash and cash equivalents, beginning of period (includes $804 at January 1, 2008 for discontinued operations)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112,174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102,210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Less cash and equivalents of discontinued operations, end of period</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of continuing operations, end of period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117,510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101,753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left="240" w:right="8280" w:hanging="232"/>
        <w:spacing w:after="0" w:line="347"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outsourcing and transformation services. The Company’s clients are located principally in the United States and the United Kingdom.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The unaudited interim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annual financial statements and therefore should be read in conjunction with the audited consolidated financial statements and footnotes thereto included in the Company’s Annual Report on Form 10-K for the fiscal year ended December 31, 2008.</w:t>
      </w:r>
    </w:p>
    <w:p>
      <w:pPr>
        <w:spacing w:after="0" w:line="9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these periods. The consolidated statements of income for the interim periods presented are not necessarily indicative of the results for the full year or for any subsequent period.</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Certain prior period amounts have been reclassified in the unaudited consolidated financial statements to conform to the 2009 presentation. These reclassifications reflect the presentation of discontinued operations of Noida Customer Operations Private Limited (“NCOP”), previously included in the Outsourcing Services segment. On August 11, 2008, the Company completed the sale of all of its shares of NCOP to Aviva Global Services Singapore Pte Ltd (“AGSS”). See Note 17 on Discontinued Operations.</w:t>
      </w:r>
    </w:p>
    <w:p>
      <w:pPr>
        <w:spacing w:after="0" w:line="218" w:lineRule="exact"/>
        <w:rPr>
          <w:sz w:val="20"/>
          <w:szCs w:val="20"/>
          <w:color w:val="auto"/>
        </w:rPr>
      </w:pPr>
    </w:p>
    <w:p>
      <w:pPr>
        <w:ind w:left="240" w:right="7920" w:hanging="232"/>
        <w:spacing w:after="0" w:line="347" w:lineRule="auto"/>
        <w:tabs>
          <w:tab w:leader="none" w:pos="18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unaudited consolidated financial statements include the accounts of ExlService Holdings and its subsidiaries. All intercompany balances and transactions have been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accounts, future obligations under employee benefit plans, income tax valuation allowances and tax reserves, stock-based compensation expense, depreciation and amortization periods, recoverability of long-term assets including goodwill and intangibles, and estimates to complete fixed price contracts.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June 2009, the Financial Accounting Standards Board (“FASB”) issued FAS 168, “The FASB Accounting Standards Codification and the Hierarchy of Generally Accepted Accounting Principles,” which was principally codified into Accounting Standards Codification (“ASC”) 105 “Generally Accepted Accounting Standards.” This standard will become the single source of authoritative nongovernmental U.S. generally accepted accounting principles. All existing accounting standard documents will be superseded and all other accounting literature not included in the FASB Codification will be considered non-authoritative. This guidance is effective for interim and annual periods ending after September 15, 2009. As ASC 105 was not intended to change existing accounting guidance, its adoption did not have an impact on the Company’s consolidated financial statements.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2007, the FASB issued new accounting guidance for business combinations. The new accounting guidance changes the accounting for 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 treatment of acquisition-related transaction costs and the recognition of changes in the acquirer’s income tax valuation allowance. The Company acquired a 100% stake in Schneider Logistics Europe S.R.O. on July 3, 2009. The acquisition was accounted for in accordance with this new accounting guidance. See Note 5 on Business Combinations, Goodwill and Intangibles Assets.</w:t>
      </w:r>
    </w:p>
    <w:p>
      <w:pPr>
        <w:sectPr>
          <w:pgSz w:w="11900" w:h="16838" w:orient="portrait"/>
          <w:cols w:equalWidth="0" w:num="1">
            <w:col w:w="11400"/>
          </w:cols>
          <w:pgMar w:left="240" w:top="459" w:right="259" w:bottom="1440" w:gutter="0" w:footer="0" w:header="0"/>
        </w:sectPr>
      </w:pP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and diluted earnings per share is computed by using the weighted average number of common shares plus the potentially dilutive effect of stock options, restricted stock and restricted stock units issued and outstanding at the reporting date. Stock options, restricted stock and restricted stock units that are anti-dilutive are excluded from the computation of weighted average shares outstanding.</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For the three months ended September 30, 2009 and 2008, the weighted average number of shares used in calculating the diluted earnings per share includes stock options, restricted stock and restricted stock units aggregating 438,046 shares and 281,167 shares, respectively. For the nine months ended September 30, 2009 and 2008, the weighted average number of shares used in calculating diluted earnings per share includes stock options, restricted stock and restricted stock units aggregating 309,341 shares and 456,152 shares, respectively.</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calculation of earnings per share for the three months ended September 30, 2009 and 2008 excludes stock options, restricted stock and restricted stock units aggregating 1,380,775 shares and 1,910,548 shares, respectively, as their effect would have been anti-dilutive.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is organized around its Outsourcing Services and Transformation Services segments. The chief operating decision maker generally reviews financial information at the consolidated statement of income level but does not review any information except for revenues and cost of revenues of the individual segments. Therefore, the Company does not allocate or evaluate depreciation, amortization, interest expense or income, capital expenditures and income taxes to its operating segments. Consequently, it is not practical to show assets, capital expenditures, depreciation or amortization by segment.</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September 30, 2009 and 2008 for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91"/>
              </w:rPr>
              <w:t>Three months ended September 30, 2009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9"/>
          </w:tcPr>
          <w:p>
            <w:pPr>
              <w:jc w:val="right"/>
              <w:ind w:right="360"/>
              <w:spacing w:after="0"/>
              <w:rPr>
                <w:sz w:val="20"/>
                <w:szCs w:val="20"/>
                <w:color w:val="auto"/>
              </w:rPr>
            </w:pPr>
            <w:r>
              <w:rPr>
                <w:rFonts w:ascii="Arial" w:cs="Arial" w:eastAsia="Arial" w:hAnsi="Arial"/>
                <w:sz w:val="14"/>
                <w:szCs w:val="14"/>
                <w:b w:val="1"/>
                <w:bCs w:val="1"/>
                <w:color w:val="auto"/>
                <w:w w:val="91"/>
              </w:rPr>
              <w:t>Three months ended September 30,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Outsourcing</w:t>
            </w:r>
          </w:p>
        </w:tc>
        <w:tc>
          <w:tcPr>
            <w:tcW w:w="3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Outsourcing</w:t>
            </w: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Transformation</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3"/>
              </w:rPr>
              <w:t>Services</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79"/>
              </w:rPr>
              <w:t>Services</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37,673</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48,186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34,537</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46,573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22,230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28,803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20,633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7,413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19,383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83"/>
              </w:rPr>
              <w:t>14,204</w:t>
            </w: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83"/>
              </w:rPr>
              <w:t>13,262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(1,726)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(5,480)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7"/>
              </w:rPr>
              <w:t>Income/(loss) from discontinued operations, net of taxes of $0 and</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jc w:val="right"/>
              <w:ind w:right="4392"/>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(1,449)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to common stockholders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vMerge w:val="restart"/>
          </w:tcPr>
          <w:p>
            <w:pPr>
              <w:jc w:val="right"/>
              <w:ind w:right="59"/>
              <w:spacing w:after="0"/>
              <w:rPr>
                <w:sz w:val="20"/>
                <w:szCs w:val="20"/>
                <w:color w:val="auto"/>
              </w:rPr>
            </w:pPr>
            <w:r>
              <w:rPr>
                <w:rFonts w:ascii="Arial" w:cs="Arial" w:eastAsia="Arial" w:hAnsi="Arial"/>
                <w:sz w:val="18"/>
                <w:szCs w:val="18"/>
                <w:color w:val="auto"/>
              </w:rPr>
              <w:t>7</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Revenues and cost of revenues for each of the nine months ended September 30, 2009 and 2008 for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10"/>
          </w:tcPr>
          <w:p>
            <w:pPr>
              <w:jc w:val="right"/>
              <w:ind w:right="560"/>
              <w:spacing w:after="0"/>
              <w:rPr>
                <w:sz w:val="20"/>
                <w:szCs w:val="20"/>
                <w:color w:val="auto"/>
              </w:rPr>
            </w:pPr>
            <w:r>
              <w:rPr>
                <w:rFonts w:ascii="Arial" w:cs="Arial" w:eastAsia="Arial" w:hAnsi="Arial"/>
                <w:sz w:val="14"/>
                <w:szCs w:val="14"/>
                <w:b w:val="1"/>
                <w:bCs w:val="1"/>
                <w:color w:val="auto"/>
                <w:w w:val="89"/>
              </w:rPr>
              <w:t>Nine months ended September 30, 2009</w:t>
            </w:r>
          </w:p>
        </w:tc>
        <w:tc>
          <w:tcPr>
            <w:tcW w:w="100" w:type="dxa"/>
            <w:vAlign w:val="bottom"/>
          </w:tcPr>
          <w:p>
            <w:pPr>
              <w:spacing w:after="0"/>
              <w:rPr>
                <w:sz w:val="14"/>
                <w:szCs w:val="14"/>
                <w:color w:val="auto"/>
              </w:rPr>
            </w:pPr>
          </w:p>
        </w:tc>
        <w:tc>
          <w:tcPr>
            <w:tcW w:w="274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89"/>
              </w:rPr>
              <w:t>Nine months ended September 30,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96"/>
              </w:rPr>
              <w:t>Outsourcing</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7"/>
              </w:rPr>
              <w:t>Transformation</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Outsourcing</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79"/>
              </w:rPr>
              <w:t>Services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3"/>
              </w:rPr>
              <w:t>Services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105,573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131,557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105,598</w:t>
            </w: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60,549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18,437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78,986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66,510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45,024</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52,571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39,088</w:t>
            </w: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40,314</w:t>
            </w:r>
          </w:p>
        </w:tc>
        <w:tc>
          <w:tcPr>
            <w:tcW w:w="3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40,861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(4,158)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3"/>
              </w:rPr>
              <w:t>Income/(loss) from discontinued operations, net of taxes of ($41) and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jc w:val="right"/>
              <w:ind w:right="4412"/>
              <w:spacing w:after="0"/>
              <w:rPr>
                <w:sz w:val="20"/>
                <w:szCs w:val="20"/>
                <w:color w:val="auto"/>
              </w:rPr>
            </w:pPr>
            <w:r>
              <w:rPr>
                <w:rFonts w:ascii="Arial" w:cs="Arial" w:eastAsia="Arial" w:hAnsi="Arial"/>
                <w:sz w:val="18"/>
                <w:szCs w:val="18"/>
                <w:color w:val="auto"/>
              </w:rPr>
              <w:t>$3,449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July 3, 2009, the Company acquired a 100% stake in Schneider Logistics Europe S.R.O. (“Schneider SRO”), which is located in Olomouc, the Czech Republic, for a cash consideration of approximately $3,505 (net of cash acquired of $942), including post-closing adjustments. Schneider SRO provides complex transaction processing services to its clients in Europe and the U.S. The acquisition provides the Company with multi-lingual delivery capabilities and a cost effective delivery location in Eastern Europe.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made an allocation of the purchase price to the tangible and intangible assets and liabilities acquired, based on their fair values, including approximately $2,038 to non-tax deductible goodwill and $794 to intangible assets (principally customer relationships). The intangible assets are being amortized over a life of 3 years. The Company recognized acquisition related costs of approximately $150 related to this transaction and are included in the general and administrative expenses in the unaudited consolidated statements of income.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are details of the Company’s goodwill balance as of September 30, 2009:</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Outsourcing</w:t>
            </w:r>
          </w:p>
        </w:tc>
        <w:tc>
          <w:tcPr>
            <w:tcW w:w="5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Transformation</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1"/>
        </w:trPr>
        <w:tc>
          <w:tcPr>
            <w:tcW w:w="6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79"/>
              </w:rPr>
              <w:t>Services</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600" w:type="dxa"/>
            <w:vAlign w:val="bottom"/>
          </w:tcPr>
          <w:p>
            <w:pPr>
              <w:spacing w:after="0"/>
              <w:rPr>
                <w:sz w:val="14"/>
                <w:szCs w:val="14"/>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Total</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$17,557</w:t>
            </w:r>
          </w:p>
        </w:tc>
      </w:tr>
      <w:tr>
        <w:trPr>
          <w:trHeight w:val="223"/>
        </w:trPr>
        <w:tc>
          <w:tcPr>
            <w:tcW w:w="6160" w:type="dxa"/>
            <w:vAlign w:val="bottom"/>
          </w:tcPr>
          <w:p>
            <w:pPr>
              <w:ind w:left="440"/>
              <w:spacing w:after="0"/>
              <w:rPr>
                <w:sz w:val="20"/>
                <w:szCs w:val="20"/>
                <w:color w:val="auto"/>
              </w:rPr>
            </w:pPr>
            <w:r>
              <w:rPr>
                <w:rFonts w:ascii="Arial" w:cs="Arial" w:eastAsia="Arial" w:hAnsi="Arial"/>
                <w:sz w:val="18"/>
                <w:szCs w:val="18"/>
                <w:color w:val="auto"/>
              </w:rPr>
              <w:t>Goodwill arising from acquisition</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19,595</w:t>
            </w:r>
          </w:p>
        </w:tc>
      </w:tr>
      <w:tr>
        <w:trPr>
          <w:trHeight w:val="20"/>
        </w:trPr>
        <w:tc>
          <w:tcPr>
            <w:tcW w:w="6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future cash flows. Recoverability of goodwill is evaluated using a two-step process. The first step involves a comparison of the fair value of a reporting unit with its carrying value. The fair value of the reporting unit is measured by discounting estimated future cash flows.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will be tested for impairment between annual tests if an event occurs or circumstances change that would more likely than not reduce the fair value of the reporting unit below its carrying amount.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As of September 30, 2009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29"/>
        </w:trPr>
        <w:tc>
          <w:tcPr>
            <w:tcW w:w="6220" w:type="dxa"/>
            <w:vAlign w:val="bottom"/>
          </w:tcPr>
          <w:p>
            <w:pPr>
              <w:spacing w:after="0"/>
              <w:rPr>
                <w:sz w:val="11"/>
                <w:szCs w:val="11"/>
                <w:color w:val="auto"/>
              </w:rPr>
            </w:pPr>
          </w:p>
        </w:tc>
        <w:tc>
          <w:tcPr>
            <w:tcW w:w="540" w:type="dxa"/>
            <w:vAlign w:val="bottom"/>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93"/>
              </w:rPr>
              <w:t>Gross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6220" w:type="dxa"/>
            <w:vAlign w:val="bottom"/>
          </w:tcPr>
          <w:p>
            <w:pPr>
              <w:spacing w:after="0"/>
              <w:rPr>
                <w:sz w:val="12"/>
                <w:szCs w:val="12"/>
                <w:color w:val="auto"/>
              </w:rPr>
            </w:pPr>
          </w:p>
        </w:tc>
        <w:tc>
          <w:tcPr>
            <w:tcW w:w="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Carrying</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Net Carrying</w:t>
            </w:r>
          </w:p>
        </w:tc>
      </w:tr>
      <w:tr>
        <w:trPr>
          <w:trHeight w:val="161"/>
        </w:trPr>
        <w:tc>
          <w:tcPr>
            <w:tcW w:w="622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Amortization</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710</w:t>
            </w:r>
          </w:p>
        </w:tc>
      </w:tr>
      <w:tr>
        <w:trPr>
          <w:trHeight w:val="20"/>
        </w:trPr>
        <w:tc>
          <w:tcPr>
            <w:tcW w:w="6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2"/>
        </w:trPr>
        <w:tc>
          <w:tcPr>
            <w:tcW w:w="6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84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380"/>
              <w:spacing w:after="0"/>
              <w:rPr>
                <w:sz w:val="20"/>
                <w:szCs w:val="20"/>
                <w:color w:val="auto"/>
              </w:rPr>
            </w:pPr>
            <w:r>
              <w:rPr>
                <w:rFonts w:ascii="Arial" w:cs="Arial" w:eastAsia="Arial" w:hAnsi="Arial"/>
                <w:sz w:val="18"/>
                <w:szCs w:val="18"/>
                <w:color w:val="auto"/>
                <w:w w:val="79"/>
              </w:rPr>
              <w:t>710</w:t>
            </w: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346"/>
        </w:trPr>
        <w:tc>
          <w:tcPr>
            <w:tcW w:w="6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As of December 31, 2008</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29"/>
        </w:trPr>
        <w:tc>
          <w:tcPr>
            <w:tcW w:w="6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78"/>
              </w:rPr>
              <w:t>Gross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9"/>
        </w:trPr>
        <w:tc>
          <w:tcPr>
            <w:tcW w:w="6220" w:type="dxa"/>
            <w:vAlign w:val="bottom"/>
          </w:tcPr>
          <w:p>
            <w:pPr>
              <w:spacing w:after="0"/>
              <w:rPr>
                <w:sz w:val="12"/>
                <w:szCs w:val="12"/>
                <w:color w:val="auto"/>
              </w:rPr>
            </w:pPr>
          </w:p>
        </w:tc>
        <w:tc>
          <w:tcPr>
            <w:tcW w:w="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Carrying</w:t>
            </w:r>
          </w:p>
        </w:tc>
        <w:tc>
          <w:tcPr>
            <w:tcW w:w="580" w:type="dxa"/>
            <w:vAlign w:val="bottom"/>
          </w:tcPr>
          <w:p>
            <w:pPr>
              <w:spacing w:after="0"/>
              <w:rPr>
                <w:sz w:val="12"/>
                <w:szCs w:val="12"/>
                <w:color w:val="auto"/>
              </w:rPr>
            </w:pPr>
          </w:p>
        </w:tc>
        <w:tc>
          <w:tcPr>
            <w:tcW w:w="13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Net Carrying</w:t>
            </w:r>
          </w:p>
        </w:tc>
      </w:tr>
      <w:tr>
        <w:trPr>
          <w:trHeight w:val="161"/>
        </w:trPr>
        <w:tc>
          <w:tcPr>
            <w:tcW w:w="6220" w:type="dxa"/>
            <w:vAlign w:val="bottom"/>
          </w:tcPr>
          <w:p>
            <w:pPr>
              <w:spacing w:after="0"/>
              <w:rPr>
                <w:sz w:val="14"/>
                <w:szCs w:val="14"/>
                <w:color w:val="auto"/>
              </w:rPr>
            </w:pPr>
          </w:p>
        </w:tc>
        <w:tc>
          <w:tcPr>
            <w:tcW w:w="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0"/>
              </w:rPr>
              <w:t>Amount</w:t>
            </w:r>
          </w:p>
        </w:tc>
        <w:tc>
          <w:tcPr>
            <w:tcW w:w="580" w:type="dxa"/>
            <w:vAlign w:val="bottom"/>
          </w:tcPr>
          <w:p>
            <w:pPr>
              <w:spacing w:after="0"/>
              <w:rPr>
                <w:sz w:val="14"/>
                <w:szCs w:val="14"/>
                <w:color w:val="auto"/>
              </w:rPr>
            </w:pPr>
          </w:p>
        </w:tc>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6"/>
              </w:rPr>
              <w:t>Amortization</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1,554</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1,460</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0"/>
        </w:trPr>
        <w:tc>
          <w:tcPr>
            <w:tcW w:w="622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2"/>
        </w:trPr>
        <w:tc>
          <w:tcPr>
            <w:tcW w:w="62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6"/>
              </w:rPr>
              <w:t>$ 3,344</w:t>
            </w:r>
          </w:p>
        </w:tc>
        <w:tc>
          <w:tcPr>
            <w:tcW w:w="8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(3,344)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0"/>
        </w:trPr>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Amortization expense for the three months ended September 30, 2009 and September 30, 2008 was $84 and $51, respectively. Amortization expense for the nine months ended September 30, 2009 and September 30, 2008 was $84 and $483, respectively. The estimated amortization of intangible assets for the years ending September 30, 2010, 2011 and 2012 is $332, $276 and $102,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ASC No.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No.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ASC No. 820 establishes a three-level hierarchy of fair value measurements based on whether the inputs to those measurements are observable or unobservable. Observable inputs reflect market data obtained from independent sources, while unobservable inputs reflect the Company’s market assumptions. The fair-value hierarchy requires the use of observable market data when available and consists of the following levels:</w:t>
      </w:r>
    </w:p>
    <w:p>
      <w:pPr>
        <w:spacing w:after="0" w:line="2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in which all significant inputs are observable in active markets;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are unobservable.</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table sets forth the Company’s assets and liabilities that were accounted for at fair value as of September 30, 2009. The table excludes short-term investments, accounts receivable, accounts payable and accrued expenses for which fair values approximate their carrying amounts.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96"/>
              <w:spacing w:after="0"/>
              <w:rPr>
                <w:sz w:val="20"/>
                <w:szCs w:val="20"/>
                <w:color w:val="auto"/>
              </w:rPr>
            </w:pPr>
            <w:r>
              <w:rPr>
                <w:rFonts w:ascii="Arial" w:cs="Arial" w:eastAsia="Arial" w:hAnsi="Arial"/>
                <w:sz w:val="14"/>
                <w:szCs w:val="14"/>
                <w:b w:val="1"/>
                <w:bCs w:val="1"/>
                <w:color w:val="auto"/>
              </w:rPr>
              <w:t>Total</w:t>
            </w: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103,873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103,873</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103,873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252</w:t>
            </w:r>
          </w:p>
        </w:tc>
        <w:tc>
          <w:tcPr>
            <w:tcW w:w="74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104,125</w:t>
            </w:r>
          </w:p>
        </w:tc>
      </w:tr>
      <w:tr>
        <w:trPr>
          <w:trHeight w:val="20"/>
        </w:trPr>
        <w:tc>
          <w:tcPr>
            <w:tcW w:w="7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1,665</w:t>
            </w:r>
          </w:p>
        </w:tc>
        <w:tc>
          <w:tcPr>
            <w:tcW w:w="740" w:type="dxa"/>
            <w:vAlign w:val="bottom"/>
            <w:gridSpan w:val="2"/>
          </w:tcPr>
          <w:p>
            <w:pPr>
              <w:jc w:val="right"/>
              <w:ind w:right="22"/>
              <w:spacing w:after="0"/>
              <w:rPr>
                <w:sz w:val="20"/>
                <w:szCs w:val="20"/>
                <w:color w:val="auto"/>
              </w:rPr>
            </w:pPr>
            <w:r>
              <w:rPr>
                <w:rFonts w:ascii="Arial" w:cs="Arial" w:eastAsia="Arial" w:hAnsi="Arial"/>
                <w:sz w:val="18"/>
                <w:szCs w:val="18"/>
                <w:color w:val="auto"/>
              </w:rPr>
              <w:t>$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1,665</w:t>
            </w:r>
          </w:p>
        </w:tc>
      </w:tr>
      <w:tr>
        <w:trPr>
          <w:trHeight w:val="20"/>
        </w:trPr>
        <w:tc>
          <w:tcPr>
            <w:tcW w:w="7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332" w:lineRule="auto"/>
        <w:rPr>
          <w:sz w:val="20"/>
          <w:szCs w:val="20"/>
          <w:color w:val="auto"/>
        </w:rPr>
      </w:pPr>
      <w:r>
        <w:rPr>
          <w:rFonts w:ascii="Arial" w:cs="Arial" w:eastAsia="Arial" w:hAnsi="Arial"/>
          <w:sz w:val="16"/>
          <w:szCs w:val="16"/>
          <w:i w:val="1"/>
          <w:iCs w:val="1"/>
          <w:color w:val="auto"/>
        </w:rPr>
        <w:t xml:space="preserve">Derivative Financial Instrument: </w:t>
      </w:r>
      <w:r>
        <w:rPr>
          <w:rFonts w:ascii="Arial" w:cs="Arial" w:eastAsia="Arial" w:hAnsi="Arial"/>
          <w:sz w:val="16"/>
          <w:szCs w:val="16"/>
          <w:color w:val="auto"/>
        </w:rPr>
        <w:t>The Company’s derivative financial instruments consist of foreign currency forward exchange contracts. Fair values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financial instruments are based on broker quotations and are classified as Level 2. See Note 7 for further details on Derivative Financial Instruments.</w:t>
      </w:r>
    </w:p>
    <w:p>
      <w:pPr>
        <w:sectPr>
          <w:pgSz w:w="11900" w:h="16838" w:orient="portrait"/>
          <w:cols w:equalWidth="0" w:num="1">
            <w:col w:w="11420"/>
          </w:cols>
          <w:pgMar w:left="240" w:top="459" w:right="2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2009</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Financial Instruments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the normal course of business, the Company actively looks to mitigate the exposure of foreign currency market risk by entering into various hedging instruments, authorized under Company policies, with counterparties that are highly rated financial institutions. The Company’s primary exchange rate exposure is to the U.K. pound sterling and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 hedges anticipated transactions that are subject to foreign exchange exposure with foreign currency exchange contracts that are designated effective and that qualify as cash flow hedges under ASC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No. 815”). Changes in the fair value of these cash flow hedges which are deemed effective, are recorded in accumulated other comprehensive income/(loss) (“AOCI”) until the hedged transactions occur and at that time are recognized in the unaudited consolidated statements of income. Changes in the fair value of cash flow hedges deemed ineffective are recognized in the unaudited consolidated statement of income and are included in foreign exchange gain/(loss).</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also uses derivatives consisting of foreign currency exchange contracts not designated as hedging instruments under ASC No. 815 to hedge intercompany balances and other monetary assets or liabilities denominated in currencies other than the functional currency. Changes in the fair value of these derivatives are recognized in the unaudited consolidated statements of income and are included in foreign exchange gain/(loss).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the unaudited consolidated statements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as a result of forecasted transactions that failed to occur for the three and nine months ended September 30, 2009. For the three and nine months ended September 30, 2008, ($1,281) were reclassified from AOCI into earnings because it was not probable that the forecasted transaction would occur.</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had outstanding foreign exchange contracts totaling $96,939 and GBP 12,511 as of September 30, 2009 and totaling $110,182 and GBP 30,320 as of December 31, 2008. The Company estimates that approximately $1,667 of net derivative losses included in AOCI could be reclassified into earnings within the next 12 months based on exchange rates prevailing as of September 30, 2009. At September 30, 2009, the maximum outstanding term of derivative instruments that hedge forecasted transactions was 27 months.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set forth the fair value of derivative instruments included in the unaudited consolidated balance sheets as on September 30, 2009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gridSpan w:val="4"/>
          </w:tcPr>
          <w:p>
            <w:pPr>
              <w:ind w:left="100"/>
              <w:spacing w:after="0"/>
              <w:rPr>
                <w:sz w:val="20"/>
                <w:szCs w:val="20"/>
                <w:color w:val="auto"/>
              </w:rPr>
            </w:pPr>
            <w:r>
              <w:rPr>
                <w:rFonts w:ascii="Arial" w:cs="Arial" w:eastAsia="Arial" w:hAnsi="Arial"/>
                <w:sz w:val="14"/>
                <w:szCs w:val="14"/>
                <w:b w:val="1"/>
                <w:bCs w:val="1"/>
                <w:color w:val="auto"/>
                <w:w w:val="85"/>
              </w:rPr>
              <w:t>September 30,</w:t>
            </w:r>
          </w:p>
        </w:tc>
        <w:tc>
          <w:tcPr>
            <w:tcW w:w="1500" w:type="dxa"/>
            <w:vAlign w:val="bottom"/>
            <w:gridSpan w:val="3"/>
          </w:tcPr>
          <w:p>
            <w:pPr>
              <w:ind w:left="7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2008</w:t>
            </w:r>
          </w:p>
        </w:tc>
      </w:tr>
      <w:tr>
        <w:trPr>
          <w:trHeight w:val="210"/>
        </w:trPr>
        <w:tc>
          <w:tcPr>
            <w:tcW w:w="11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Accrued expense and other current liabilities:</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620" w:type="dxa"/>
            <w:vAlign w:val="bottom"/>
            <w:gridSpan w:val="3"/>
          </w:tcPr>
          <w:p>
            <w:pPr>
              <w:ind w:left="25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1,665</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tcPr>
          <w:p>
            <w:pPr>
              <w:ind w:left="240"/>
              <w:spacing w:after="0"/>
              <w:rPr>
                <w:sz w:val="20"/>
                <w:szCs w:val="20"/>
                <w:color w:val="auto"/>
              </w:rPr>
            </w:pPr>
            <w:r>
              <w:rPr>
                <w:rFonts w:ascii="Arial" w:cs="Arial" w:eastAsia="Arial" w:hAnsi="Arial"/>
                <w:sz w:val="18"/>
                <w:szCs w:val="18"/>
                <w:color w:val="auto"/>
                <w:w w:val="84"/>
              </w:rPr>
              <w:t>5,411</w:t>
            </w:r>
          </w:p>
        </w:tc>
      </w:tr>
      <w:tr>
        <w:trPr>
          <w:trHeight w:val="216"/>
        </w:trPr>
        <w:tc>
          <w:tcPr>
            <w:tcW w:w="11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620" w:type="dxa"/>
            <w:vAlign w:val="bottom"/>
            <w:gridSpan w:val="3"/>
          </w:tcPr>
          <w:p>
            <w:pPr>
              <w:ind w:left="25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w w:val="86"/>
              </w:rPr>
              <w:t>770</w:t>
            </w:r>
          </w:p>
        </w:tc>
      </w:tr>
      <w:tr>
        <w:trPr>
          <w:trHeight w:val="216"/>
        </w:trPr>
        <w:tc>
          <w:tcPr>
            <w:tcW w:w="11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620" w:type="dxa"/>
            <w:vAlign w:val="bottom"/>
            <w:gridSpan w:val="3"/>
          </w:tcPr>
          <w:p>
            <w:pPr>
              <w:ind w:left="25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451"/>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40"/>
        </w:trPr>
        <w:tc>
          <w:tcPr>
            <w:tcW w:w="1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340" w:type="dxa"/>
            <w:vAlign w:val="bottom"/>
            <w:gridSpan w:val="5"/>
          </w:tcPr>
          <w:p>
            <w:pPr>
              <w:ind w:left="2380"/>
              <w:spacing w:after="0"/>
              <w:rPr>
                <w:sz w:val="20"/>
                <w:szCs w:val="20"/>
                <w:color w:val="auto"/>
              </w:rPr>
            </w:pPr>
            <w:r>
              <w:rPr>
                <w:rFonts w:ascii="Arial" w:cs="Arial" w:eastAsia="Arial" w:hAnsi="Arial"/>
                <w:sz w:val="14"/>
                <w:szCs w:val="14"/>
                <w:b w:val="1"/>
                <w:bCs w:val="1"/>
                <w:color w:val="auto"/>
                <w:w w:val="98"/>
              </w:rPr>
              <w:t>September 30,</w:t>
            </w:r>
          </w:p>
        </w:tc>
        <w:tc>
          <w:tcPr>
            <w:tcW w:w="1500" w:type="dxa"/>
            <w:vAlign w:val="bottom"/>
            <w:gridSpan w:val="3"/>
          </w:tcPr>
          <w:p>
            <w:pPr>
              <w:ind w:left="7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2008</w:t>
            </w:r>
          </w:p>
        </w:tc>
      </w:tr>
      <w:tr>
        <w:trPr>
          <w:trHeight w:val="210"/>
        </w:trPr>
        <w:tc>
          <w:tcPr>
            <w:tcW w:w="11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Prepaid and other current assets:</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52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Accrued expense and other current liabilities:</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52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w w:val="86"/>
              </w:rPr>
              <w:t>223</w:t>
            </w:r>
          </w:p>
        </w:tc>
      </w:tr>
      <w:tr>
        <w:trPr>
          <w:trHeight w:val="356"/>
        </w:trPr>
        <w:tc>
          <w:tcPr>
            <w:tcW w:w="1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00" w:type="dxa"/>
            <w:vAlign w:val="bottom"/>
          </w:tcPr>
          <w:p>
            <w:pPr>
              <w:jc w:val="right"/>
              <w:ind w:right="173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September 30, 2009 and 2008:</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Amount of Gain or</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8"/>
              </w:rPr>
              <w:t>Location of Gain</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(Loss) Recognized in</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or (Loss)</w:t>
            </w:r>
          </w:p>
        </w:tc>
        <w:tc>
          <w:tcPr>
            <w:tcW w:w="180" w:type="dxa"/>
            <w:vAlign w:val="bottom"/>
          </w:tcPr>
          <w:p>
            <w:pPr>
              <w:spacing w:after="0"/>
              <w:rPr>
                <w:sz w:val="12"/>
                <w:szCs w:val="12"/>
                <w:color w:val="auto"/>
              </w:rPr>
            </w:pPr>
          </w:p>
        </w:tc>
        <w:tc>
          <w:tcPr>
            <w:tcW w:w="15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Amount of Gain or</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AOCI on</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180" w:type="dxa"/>
            <w:vAlign w:val="bottom"/>
          </w:tcPr>
          <w:p>
            <w:pPr>
              <w:spacing w:after="0"/>
              <w:rPr>
                <w:sz w:val="12"/>
                <w:szCs w:val="12"/>
                <w:color w:val="auto"/>
              </w:rPr>
            </w:pPr>
          </w:p>
        </w:tc>
        <w:tc>
          <w:tcPr>
            <w:tcW w:w="15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(Loss) Reclassified from</w:t>
            </w: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Derivatives in Cash Flow</w:t>
            </w:r>
          </w:p>
        </w:tc>
        <w:tc>
          <w:tcPr>
            <w:tcW w:w="15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AOCI into Income</w:t>
            </w:r>
          </w:p>
        </w:tc>
        <w:tc>
          <w:tcPr>
            <w:tcW w:w="180" w:type="dxa"/>
            <w:vAlign w:val="bottom"/>
          </w:tcPr>
          <w:p>
            <w:pPr>
              <w:spacing w:after="0"/>
              <w:rPr>
                <w:sz w:val="12"/>
                <w:szCs w:val="12"/>
                <w:color w:val="auto"/>
              </w:rPr>
            </w:pPr>
          </w:p>
        </w:tc>
        <w:tc>
          <w:tcPr>
            <w:tcW w:w="15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Hedging Relationships</w:t>
            </w:r>
          </w:p>
        </w:tc>
        <w:tc>
          <w:tcPr>
            <w:tcW w:w="880" w:type="dxa"/>
            <w:vAlign w:val="bottom"/>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(Effective Portion)</w:t>
            </w:r>
          </w:p>
        </w:tc>
        <w:tc>
          <w:tcPr>
            <w:tcW w:w="26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(Effective Portion)</w:t>
            </w:r>
          </w:p>
        </w:tc>
        <w:tc>
          <w:tcPr>
            <w:tcW w:w="180" w:type="dxa"/>
            <w:vAlign w:val="bottom"/>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(Effective Portion)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Foreign exchange contracts</w:t>
            </w:r>
          </w:p>
        </w:tc>
        <w:tc>
          <w:tcPr>
            <w:tcW w:w="500" w:type="dxa"/>
            <w:vAlign w:val="bottom"/>
          </w:tcPr>
          <w:p>
            <w:pPr>
              <w:jc w:val="right"/>
              <w:ind w:right="50"/>
              <w:spacing w:after="0" w:line="149"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02"/>
              <w:spacing w:after="0" w:line="149" w:lineRule="exact"/>
              <w:rPr>
                <w:sz w:val="20"/>
                <w:szCs w:val="20"/>
                <w:color w:val="auto"/>
              </w:rPr>
            </w:pPr>
            <w:r>
              <w:rPr>
                <w:rFonts w:ascii="Arial" w:cs="Arial" w:eastAsia="Arial" w:hAnsi="Arial"/>
                <w:sz w:val="14"/>
                <w:szCs w:val="14"/>
                <w:b w:val="1"/>
                <w:bCs w:val="1"/>
                <w:color w:val="auto"/>
                <w:w w:val="89"/>
              </w:rPr>
              <w:t>2008</w:t>
            </w:r>
          </w:p>
        </w:tc>
        <w:tc>
          <w:tcPr>
            <w:tcW w:w="260" w:type="dxa"/>
            <w:vAlign w:val="bottom"/>
          </w:tcPr>
          <w:p>
            <w:pPr>
              <w:spacing w:after="0"/>
              <w:rPr>
                <w:sz w:val="12"/>
                <w:szCs w:val="12"/>
                <w:color w:val="auto"/>
              </w:rPr>
            </w:pPr>
          </w:p>
        </w:tc>
        <w:tc>
          <w:tcPr>
            <w:tcW w:w="1940" w:type="dxa"/>
            <w:vAlign w:val="bottom"/>
            <w:vMerge w:val="restart"/>
          </w:tcPr>
          <w:p>
            <w:pPr>
              <w:jc w:val="center"/>
              <w:spacing w:after="0"/>
              <w:rPr>
                <w:sz w:val="20"/>
                <w:szCs w:val="20"/>
                <w:color w:val="auto"/>
              </w:rPr>
            </w:pPr>
            <w:r>
              <w:rPr>
                <w:rFonts w:ascii="Arial" w:cs="Arial" w:eastAsia="Arial" w:hAnsi="Arial"/>
                <w:sz w:val="18"/>
                <w:szCs w:val="18"/>
                <w:color w:val="auto"/>
                <w:w w:val="87"/>
              </w:rPr>
              <w:t>Foreign exchange</w:t>
            </w:r>
          </w:p>
        </w:tc>
        <w:tc>
          <w:tcPr>
            <w:tcW w:w="180" w:type="dxa"/>
            <w:vAlign w:val="bottom"/>
          </w:tcPr>
          <w:p>
            <w:pPr>
              <w:spacing w:after="0"/>
              <w:rPr>
                <w:sz w:val="12"/>
                <w:szCs w:val="12"/>
                <w:color w:val="auto"/>
              </w:rPr>
            </w:pPr>
          </w:p>
        </w:tc>
        <w:tc>
          <w:tcPr>
            <w:tcW w:w="620" w:type="dxa"/>
            <w:vAlign w:val="bottom"/>
          </w:tcPr>
          <w:p>
            <w:pPr>
              <w:jc w:val="right"/>
              <w:ind w:right="109"/>
              <w:spacing w:after="0" w:line="149" w:lineRule="exact"/>
              <w:rPr>
                <w:sz w:val="20"/>
                <w:szCs w:val="20"/>
                <w:color w:val="auto"/>
              </w:rPr>
            </w:pPr>
            <w:r>
              <w:rPr>
                <w:rFonts w:ascii="Arial" w:cs="Arial" w:eastAsia="Arial" w:hAnsi="Arial"/>
                <w:sz w:val="14"/>
                <w:szCs w:val="14"/>
                <w:b w:val="1"/>
                <w:bCs w:val="1"/>
                <w:color w:val="auto"/>
              </w:rPr>
              <w:t>2009</w:t>
            </w:r>
          </w:p>
        </w:tc>
        <w:tc>
          <w:tcPr>
            <w:tcW w:w="88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420" w:type="dxa"/>
            <w:vAlign w:val="bottom"/>
            <w:gridSpan w:val="2"/>
            <w:vMerge w:val="continue"/>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  278</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(351)</w:t>
            </w:r>
          </w:p>
        </w:tc>
        <w:tc>
          <w:tcPr>
            <w:tcW w:w="260" w:type="dxa"/>
            <w:vAlign w:val="bottom"/>
          </w:tcPr>
          <w:p>
            <w:pPr>
              <w:spacing w:after="0"/>
              <w:rPr>
                <w:sz w:val="17"/>
                <w:szCs w:val="17"/>
                <w:color w:val="auto"/>
              </w:rPr>
            </w:pPr>
          </w:p>
        </w:tc>
        <w:tc>
          <w:tcPr>
            <w:tcW w:w="19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3"/>
              </w:rPr>
              <w:t>$ (2,241)</w:t>
            </w:r>
          </w:p>
        </w:tc>
        <w:tc>
          <w:tcPr>
            <w:tcW w:w="200" w:type="dxa"/>
            <w:vAlign w:val="bottom"/>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5"/>
              </w:rPr>
              <w:t>$  (1,833)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gain/(loss)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left="20" w:right="20"/>
        <w:spacing w:after="0" w:line="266" w:lineRule="auto"/>
        <w:rPr>
          <w:sz w:val="20"/>
          <w:szCs w:val="20"/>
          <w:color w:val="auto"/>
        </w:rPr>
      </w:pPr>
      <w:r>
        <w:rPr>
          <w:rFonts w:ascii="Arial" w:cs="Arial" w:eastAsia="Arial" w:hAnsi="Arial"/>
          <w:sz w:val="12"/>
          <w:szCs w:val="12"/>
          <w:b w:val="1"/>
          <w:bCs w:val="1"/>
          <w:color w:val="auto"/>
        </w:rPr>
        <w:t>Location of Gain or (Loss) Recognized in Income on Derivative (Ineffective Portion and Amount Excluded from Effectiveness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-7620</wp:posOffset>
            </wp:positionV>
            <wp:extent cx="12007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Foreign exchange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gain/(loss)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0" w:right="80"/>
        <w:spacing w:after="0" w:line="265" w:lineRule="auto"/>
        <w:rPr>
          <w:sz w:val="20"/>
          <w:szCs w:val="20"/>
          <w:color w:val="auto"/>
        </w:rPr>
      </w:pPr>
      <w:r>
        <w:rPr>
          <w:rFonts w:ascii="Arial" w:cs="Arial" w:eastAsia="Arial" w:hAnsi="Arial"/>
          <w:sz w:val="12"/>
          <w:szCs w:val="12"/>
          <w:b w:val="1"/>
          <w:bCs w:val="1"/>
          <w:color w:val="auto"/>
        </w:rPr>
        <w:t>Amount of Gain or (Loss) Recognized in Income on Derivative (Ineffective Portion and Amount Excluded from Effectiveness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9264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ind w:left="100"/>
        <w:spacing w:after="0"/>
        <w:tabs>
          <w:tab w:leader="none" w:pos="90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9264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tabs>
          <w:tab w:leader="none" w:pos="220" w:val="left"/>
          <w:tab w:leader="none" w:pos="640" w:val="left"/>
          <w:tab w:leader="none" w:pos="980" w:val="left"/>
        </w:tabs>
        <w:rPr>
          <w:sz w:val="20"/>
          <w:szCs w:val="20"/>
          <w:color w:val="auto"/>
        </w:rPr>
      </w:pPr>
      <w:r>
        <w:rPr>
          <w:rFonts w:ascii="Arial" w:cs="Arial" w:eastAsia="Arial" w:hAnsi="Arial"/>
          <w:sz w:val="18"/>
          <w:szCs w:val="18"/>
          <w:color w:val="auto"/>
        </w:rPr>
        <w:t>$</w:t>
        <w:tab/>
        <w:t>—</w:t>
        <w:tab/>
        <w:t>$</w:t>
      </w:r>
      <w:r>
        <w:rPr>
          <w:sz w:val="20"/>
          <w:szCs w:val="20"/>
          <w:color w:val="auto"/>
        </w:rPr>
        <w:tab/>
      </w:r>
      <w:r>
        <w:rPr>
          <w:rFonts w:ascii="Arial" w:cs="Arial" w:eastAsia="Arial" w:hAnsi="Arial"/>
          <w:sz w:val="16"/>
          <w:szCs w:val="16"/>
          <w:color w:val="auto"/>
        </w:rPr>
        <w:t>(2,358)</w:t>
      </w:r>
    </w:p>
    <w:p>
      <w:pPr>
        <w:spacing w:after="0" w:line="423" w:lineRule="exact"/>
        <w:rPr>
          <w:sz w:val="20"/>
          <w:szCs w:val="20"/>
          <w:color w:val="auto"/>
        </w:rPr>
      </w:pPr>
    </w:p>
    <w:p>
      <w:pPr>
        <w:sectPr>
          <w:pgSz w:w="11900" w:h="16838" w:orient="portrait"/>
          <w:cols w:equalWidth="0" w:num="3">
            <w:col w:w="7620" w:space="540"/>
            <w:col w:w="1260" w:space="480"/>
            <w:col w:w="1520"/>
          </w:cols>
          <w:pgMar w:left="240" w:top="459" w:right="239" w:bottom="1440" w:gutter="0" w:footer="0" w:header="0"/>
          <w:type w:val="continuous"/>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86"/>
              </w:rPr>
              <w:t>Location of Gain or (Loss) Recognized in</w:t>
            </w:r>
          </w:p>
        </w:tc>
      </w:tr>
      <w:tr>
        <w:trPr>
          <w:trHeight w:val="168"/>
        </w:trPr>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Hedging Instruments</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Income on Derivatives</w:t>
            </w:r>
          </w:p>
        </w:tc>
      </w:tr>
      <w:tr>
        <w:trPr>
          <w:trHeight w:val="376"/>
        </w:trPr>
        <w:tc>
          <w:tcPr>
            <w:tcW w:w="4440" w:type="dxa"/>
            <w:vAlign w:val="bottom"/>
            <w:gridSpan w:val="2"/>
          </w:tcPr>
          <w:p>
            <w:pPr>
              <w:spacing w:after="0"/>
              <w:rPr>
                <w:sz w:val="20"/>
                <w:szCs w:val="20"/>
                <w:color w:val="auto"/>
              </w:rPr>
            </w:pPr>
            <w:r>
              <w:rPr>
                <w:rFonts w:ascii="Arial" w:cs="Arial" w:eastAsia="Arial" w:hAnsi="Arial"/>
                <w:sz w:val="18"/>
                <w:szCs w:val="18"/>
                <w:color w:val="auto"/>
              </w:rPr>
              <w:t>Foreign exchange contracts</w:t>
            </w:r>
          </w:p>
        </w:tc>
        <w:tc>
          <w:tcPr>
            <w:tcW w:w="3680" w:type="dxa"/>
            <w:vAlign w:val="bottom"/>
          </w:tcPr>
          <w:p>
            <w:pPr>
              <w:spacing w:after="0"/>
              <w:rPr>
                <w:sz w:val="20"/>
                <w:szCs w:val="20"/>
                <w:color w:val="auto"/>
              </w:rPr>
            </w:pPr>
            <w:r>
              <w:rPr>
                <w:rFonts w:ascii="Arial" w:cs="Arial" w:eastAsia="Arial" w:hAnsi="Arial"/>
                <w:sz w:val="18"/>
                <w:szCs w:val="18"/>
                <w:color w:val="auto"/>
              </w:rPr>
              <w:t>Foreign exchange gain/(loss)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 of Gain or (Loss) Recognized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Income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6979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ind w:left="380"/>
        <w:spacing w:after="0"/>
        <w:tabs>
          <w:tab w:leader="none" w:pos="202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16979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tabs>
          <w:tab w:leader="none" w:pos="720" w:val="left"/>
          <w:tab w:leader="none" w:pos="1640" w:val="left"/>
          <w:tab w:leader="none" w:pos="2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513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63" w:lineRule="exact"/>
        <w:rPr>
          <w:sz w:val="20"/>
          <w:szCs w:val="20"/>
          <w:color w:val="auto"/>
        </w:rPr>
      </w:pPr>
    </w:p>
    <w:p>
      <w:pPr>
        <w:sectPr>
          <w:pgSz w:w="11900" w:h="16838" w:orient="portrait"/>
          <w:cols w:equalWidth="0" w:num="2">
            <w:col w:w="8120" w:space="620"/>
            <w:col w:w="2680"/>
          </w:cols>
          <w:pgMar w:left="240" w:top="459" w:right="239" w:bottom="1440" w:gutter="0" w:footer="0" w:header="0"/>
          <w:type w:val="continuous"/>
        </w:sectPr>
      </w:pPr>
    </w:p>
    <w:p>
      <w:pPr>
        <w:ind w:right="30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nine months ended September 30, 2009 and 2008:</w:t>
      </w:r>
    </w:p>
    <w:p>
      <w:pPr>
        <w:sectPr>
          <w:pgSz w:w="11900" w:h="16838" w:orient="portrait"/>
          <w:cols w:equalWidth="0" w:num="1">
            <w:col w:w="11420"/>
          </w:cols>
          <w:pgMar w:left="240" w:top="459" w:right="239" w:bottom="1440" w:gutter="0" w:footer="0" w:header="0"/>
          <w:type w:val="continuous"/>
        </w:sect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8"/>
              </w:rPr>
              <w:t>Location of Gain or</w:t>
            </w:r>
          </w:p>
        </w:tc>
      </w:tr>
      <w:tr>
        <w:trPr>
          <w:trHeight w:val="149"/>
        </w:trPr>
        <w:tc>
          <w:tcPr>
            <w:tcW w:w="1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 Recognized</w:t>
            </w:r>
          </w:p>
        </w:tc>
      </w:tr>
      <w:tr>
        <w:trPr>
          <w:trHeight w:val="149"/>
        </w:trPr>
        <w:tc>
          <w:tcPr>
            <w:tcW w:w="1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Income on</w:t>
            </w:r>
          </w:p>
        </w:tc>
      </w:tr>
      <w:tr>
        <w:trPr>
          <w:trHeight w:val="149"/>
        </w:trPr>
        <w:tc>
          <w:tcPr>
            <w:tcW w:w="1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Derivative</w:t>
            </w:r>
          </w:p>
        </w:tc>
      </w:tr>
      <w:tr>
        <w:trPr>
          <w:trHeight w:val="149"/>
        </w:trPr>
        <w:tc>
          <w:tcPr>
            <w:tcW w:w="1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Amount of Gain or</w:t>
            </w:r>
          </w:p>
        </w:tc>
        <w:tc>
          <w:tcPr>
            <w:tcW w:w="28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 or</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(Ineffective Portion</w:t>
            </w:r>
          </w:p>
        </w:tc>
      </w:tr>
      <w:tr>
        <w:trPr>
          <w:trHeight w:val="149"/>
        </w:trPr>
        <w:tc>
          <w:tcPr>
            <w:tcW w:w="1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(Loss) Recognized in</w:t>
            </w:r>
          </w:p>
        </w:tc>
        <w:tc>
          <w:tcPr>
            <w:tcW w:w="28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Amount of Gain or</w:t>
            </w:r>
          </w:p>
        </w:tc>
        <w:tc>
          <w:tcPr>
            <w:tcW w:w="1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Amount</w:t>
            </w:r>
          </w:p>
        </w:tc>
      </w:tr>
      <w:tr>
        <w:trPr>
          <w:trHeight w:val="149"/>
        </w:trPr>
        <w:tc>
          <w:tcPr>
            <w:tcW w:w="1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96"/>
              </w:rPr>
              <w:t>AOCI on</w:t>
            </w:r>
          </w:p>
        </w:tc>
        <w:tc>
          <w:tcPr>
            <w:tcW w:w="28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18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(Loss) Reclassified from</w:t>
            </w:r>
          </w:p>
        </w:tc>
        <w:tc>
          <w:tcPr>
            <w:tcW w:w="1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Excluded from</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Derivatives in Cash Flow</w:t>
            </w: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9"/>
              </w:rPr>
              <w:t>Derivative</w:t>
            </w:r>
          </w:p>
        </w:tc>
        <w:tc>
          <w:tcPr>
            <w:tcW w:w="28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18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1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Effectiveness</w:t>
            </w:r>
          </w:p>
        </w:tc>
      </w:tr>
      <w:tr>
        <w:trPr>
          <w:trHeight w:val="168"/>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Hedging Relationships</w:t>
            </w:r>
          </w:p>
        </w:tc>
        <w:tc>
          <w:tcPr>
            <w:tcW w:w="84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(Effective Portion)</w:t>
            </w:r>
          </w:p>
        </w:tc>
        <w:tc>
          <w:tcPr>
            <w:tcW w:w="280" w:type="dxa"/>
            <w:vAlign w:val="bottom"/>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(Effective Portion)</w:t>
            </w:r>
          </w:p>
        </w:tc>
        <w:tc>
          <w:tcPr>
            <w:tcW w:w="180" w:type="dxa"/>
            <w:vAlign w:val="bottom"/>
          </w:tcPr>
          <w:p>
            <w:pPr>
              <w:spacing w:after="0"/>
              <w:rPr>
                <w:sz w:val="14"/>
                <w:szCs w:val="14"/>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(Effective Portion)</w:t>
            </w:r>
          </w:p>
        </w:tc>
        <w:tc>
          <w:tcPr>
            <w:tcW w:w="16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Testing)</w:t>
            </w:r>
          </w:p>
        </w:tc>
      </w:tr>
      <w:tr>
        <w:trPr>
          <w:trHeight w:val="149"/>
        </w:trPr>
        <w:tc>
          <w:tcPr>
            <w:tcW w:w="1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2009</w:t>
            </w:r>
          </w:p>
        </w:tc>
        <w:tc>
          <w:tcPr>
            <w:tcW w:w="9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8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80"/>
        <w:spacing w:after="0" w:line="265" w:lineRule="auto"/>
        <w:rPr>
          <w:sz w:val="20"/>
          <w:szCs w:val="20"/>
          <w:color w:val="auto"/>
        </w:rPr>
      </w:pPr>
      <w:r>
        <w:rPr>
          <w:rFonts w:ascii="Arial" w:cs="Arial" w:eastAsia="Arial" w:hAnsi="Arial"/>
          <w:sz w:val="12"/>
          <w:szCs w:val="12"/>
          <w:b w:val="1"/>
          <w:bCs w:val="1"/>
          <w:color w:val="auto"/>
        </w:rPr>
        <w:t>Amount of Gain or (Loss) Recognized in Income on Derivative (Ineffective Portion and Amount Excluded from Effectiveness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-5715</wp:posOffset>
            </wp:positionV>
            <wp:extent cx="951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ind w:left="60"/>
        <w:spacing w:after="0" w:line="226" w:lineRule="auto"/>
        <w:tabs>
          <w:tab w:leader="none" w:pos="90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p>
    <w:p>
      <w:pPr>
        <w:spacing w:after="0" w:line="20" w:lineRule="exact"/>
        <w:rPr>
          <w:sz w:val="20"/>
          <w:szCs w:val="20"/>
          <w:color w:val="auto"/>
        </w:rPr>
      </w:pPr>
    </w:p>
    <w:p>
      <w:pPr>
        <w:sectPr>
          <w:pgSz w:w="11900" w:h="16838" w:orient="portrait"/>
          <w:cols w:equalWidth="0" w:num="2">
            <w:col w:w="9640" w:space="240"/>
            <w:col w:w="15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21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6"/>
              </w:rPr>
              <w:t>Foreign exchange contracts</w:t>
            </w:r>
          </w:p>
        </w:tc>
        <w:tc>
          <w:tcPr>
            <w:tcW w:w="760" w:type="dxa"/>
            <w:vAlign w:val="bottom"/>
            <w:gridSpan w:val="3"/>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$(649)</w:t>
            </w:r>
          </w:p>
        </w:tc>
        <w:tc>
          <w:tcPr>
            <w:tcW w:w="1100" w:type="dxa"/>
            <w:vAlign w:val="bottom"/>
            <w:gridSpan w:val="3"/>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w w:val="97"/>
              </w:rPr>
              <w:t>$ (16,447)</w:t>
            </w:r>
          </w:p>
        </w:tc>
        <w:tc>
          <w:tcPr>
            <w:tcW w:w="1620" w:type="dxa"/>
            <w:vAlign w:val="bottom"/>
            <w:gridSpan w:val="2"/>
            <w:shd w:val="clear" w:color="auto" w:fill="CCEEFF"/>
          </w:tcPr>
          <w:p>
            <w:pPr>
              <w:jc w:val="center"/>
              <w:ind w:left="152"/>
              <w:spacing w:after="0" w:line="182" w:lineRule="exact"/>
              <w:rPr>
                <w:sz w:val="20"/>
                <w:szCs w:val="20"/>
                <w:color w:val="auto"/>
              </w:rPr>
            </w:pPr>
            <w:r>
              <w:rPr>
                <w:rFonts w:ascii="Arial" w:cs="Arial" w:eastAsia="Arial" w:hAnsi="Arial"/>
                <w:sz w:val="18"/>
                <w:szCs w:val="18"/>
                <w:color w:val="auto"/>
                <w:w w:val="87"/>
              </w:rPr>
              <w:t>Foreign exchange</w:t>
            </w:r>
          </w:p>
        </w:tc>
        <w:tc>
          <w:tcPr>
            <w:tcW w:w="1400" w:type="dxa"/>
            <w:vAlign w:val="bottom"/>
            <w:gridSpan w:val="3"/>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   (5,473)</w:t>
            </w:r>
          </w:p>
        </w:tc>
        <w:tc>
          <w:tcPr>
            <w:tcW w:w="5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  806</w:t>
            </w:r>
          </w:p>
        </w:tc>
        <w:tc>
          <w:tcPr>
            <w:tcW w:w="1740" w:type="dxa"/>
            <w:vAlign w:val="bottom"/>
            <w:gridSpan w:val="3"/>
            <w:shd w:val="clear" w:color="auto" w:fill="CCEEFF"/>
          </w:tcPr>
          <w:p>
            <w:pPr>
              <w:jc w:val="center"/>
              <w:ind w:left="352"/>
              <w:spacing w:after="0" w:line="182" w:lineRule="exact"/>
              <w:rPr>
                <w:sz w:val="20"/>
                <w:szCs w:val="20"/>
                <w:color w:val="auto"/>
              </w:rPr>
            </w:pPr>
            <w:r>
              <w:rPr>
                <w:rFonts w:ascii="Arial" w:cs="Arial" w:eastAsia="Arial" w:hAnsi="Arial"/>
                <w:sz w:val="18"/>
                <w:szCs w:val="18"/>
                <w:color w:val="auto"/>
                <w:w w:val="87"/>
              </w:rPr>
              <w:t>Foreign exchange</w:t>
            </w:r>
          </w:p>
        </w:tc>
        <w:tc>
          <w:tcPr>
            <w:tcW w:w="1180" w:type="dxa"/>
            <w:vAlign w:val="bottom"/>
            <w:gridSpan w:val="4"/>
            <w:shd w:val="clear" w:color="auto" w:fill="CCEEFF"/>
          </w:tcPr>
          <w:p>
            <w:pPr>
              <w:jc w:val="center"/>
              <w:ind w:left="219"/>
              <w:spacing w:after="0" w:line="182" w:lineRule="exact"/>
              <w:rPr>
                <w:sz w:val="20"/>
                <w:szCs w:val="20"/>
                <w:color w:val="auto"/>
              </w:rPr>
            </w:pPr>
            <w:r>
              <w:rPr>
                <w:rFonts w:ascii="Arial" w:cs="Arial" w:eastAsia="Arial" w:hAnsi="Arial"/>
                <w:sz w:val="18"/>
                <w:szCs w:val="18"/>
                <w:color w:val="auto"/>
                <w:w w:val="98"/>
              </w:rPr>
              <w:t>$ (118)</w:t>
            </w:r>
          </w:p>
        </w:tc>
        <w:tc>
          <w:tcPr>
            <w:tcW w:w="30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w w:val="94"/>
              </w:rPr>
              <w:t>(2,189)</w:t>
            </w:r>
          </w:p>
        </w:tc>
      </w:tr>
      <w:tr>
        <w:trPr>
          <w:trHeight w:val="238"/>
        </w:trPr>
        <w:tc>
          <w:tcPr>
            <w:tcW w:w="1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jc w:val="center"/>
              <w:ind w:right="122"/>
              <w:spacing w:after="0"/>
              <w:rPr>
                <w:sz w:val="20"/>
                <w:szCs w:val="20"/>
                <w:color w:val="auto"/>
              </w:rPr>
            </w:pPr>
            <w:r>
              <w:rPr>
                <w:rFonts w:ascii="Arial" w:cs="Arial" w:eastAsia="Arial" w:hAnsi="Arial"/>
                <w:sz w:val="18"/>
                <w:szCs w:val="18"/>
                <w:color w:val="auto"/>
                <w:w w:val="89"/>
              </w:rPr>
              <w:t>gain/(loss)</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112"/>
              <w:spacing w:after="0"/>
              <w:rPr>
                <w:sz w:val="20"/>
                <w:szCs w:val="20"/>
                <w:color w:val="auto"/>
              </w:rPr>
            </w:pPr>
            <w:r>
              <w:rPr>
                <w:rFonts w:ascii="Arial" w:cs="Arial" w:eastAsia="Arial" w:hAnsi="Arial"/>
                <w:sz w:val="18"/>
                <w:szCs w:val="18"/>
                <w:color w:val="auto"/>
                <w:w w:val="89"/>
              </w:rPr>
              <w:t>gain/(loss)</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419"/>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gridSpan w:val="6"/>
          </w:tcPr>
          <w:p>
            <w:pPr>
              <w:jc w:val="center"/>
              <w:ind w:left="522"/>
              <w:spacing w:after="0"/>
              <w:rPr>
                <w:sz w:val="20"/>
                <w:szCs w:val="20"/>
                <w:color w:val="auto"/>
              </w:rPr>
            </w:pPr>
            <w:r>
              <w:rPr>
                <w:rFonts w:ascii="Arial" w:cs="Arial" w:eastAsia="Arial" w:hAnsi="Arial"/>
                <w:sz w:val="14"/>
                <w:szCs w:val="14"/>
                <w:b w:val="1"/>
                <w:bCs w:val="1"/>
                <w:color w:val="auto"/>
                <w:w w:val="86"/>
              </w:rPr>
              <w:t>Location of Gain or (Loss) Recognized in</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40" w:type="dxa"/>
            <w:vAlign w:val="bottom"/>
            <w:gridSpan w:val="9"/>
          </w:tcPr>
          <w:p>
            <w:pPr>
              <w:jc w:val="center"/>
              <w:ind w:right="20"/>
              <w:spacing w:after="0"/>
              <w:rPr>
                <w:sz w:val="20"/>
                <w:szCs w:val="20"/>
                <w:color w:val="auto"/>
              </w:rPr>
            </w:pPr>
            <w:r>
              <w:rPr>
                <w:rFonts w:ascii="Arial" w:cs="Arial" w:eastAsia="Arial" w:hAnsi="Arial"/>
                <w:sz w:val="14"/>
                <w:szCs w:val="14"/>
                <w:b w:val="1"/>
                <w:bCs w:val="1"/>
                <w:color w:val="auto"/>
                <w:w w:val="86"/>
              </w:rPr>
              <w:t>Amount of Gain or (Loss) Recognized</w:t>
            </w:r>
          </w:p>
        </w:tc>
      </w:tr>
      <w:tr>
        <w:trPr>
          <w:trHeight w:val="168"/>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Hedging Instruments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Income on Derivatives</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in Income on Derivatives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8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259"/>
              <w:spacing w:after="0" w:line="149"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auto"/>
            </w:tcBorders>
          </w:tcPr>
          <w:p>
            <w:pPr>
              <w:spacing w:after="0"/>
              <w:rPr>
                <w:sz w:val="12"/>
                <w:szCs w:val="12"/>
                <w:color w:val="auto"/>
              </w:rPr>
            </w:pPr>
          </w:p>
        </w:tc>
      </w:tr>
      <w:tr>
        <w:trPr>
          <w:trHeight w:val="21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Foreign exchange contracts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20" w:type="dxa"/>
            <w:vAlign w:val="bottom"/>
            <w:gridSpan w:val="5"/>
            <w:shd w:val="clear" w:color="auto" w:fill="CCEEFF"/>
          </w:tcPr>
          <w:p>
            <w:pPr>
              <w:jc w:val="right"/>
              <w:ind w:right="560"/>
              <w:spacing w:after="0"/>
              <w:rPr>
                <w:sz w:val="20"/>
                <w:szCs w:val="20"/>
                <w:color w:val="auto"/>
              </w:rPr>
            </w:pPr>
            <w:r>
              <w:rPr>
                <w:rFonts w:ascii="Arial" w:cs="Arial" w:eastAsia="Arial" w:hAnsi="Arial"/>
                <w:sz w:val="18"/>
                <w:szCs w:val="18"/>
                <w:color w:val="auto"/>
              </w:rPr>
              <w:t>Foreign exchange gain/(loss)</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(542)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components of comprehensive income/(loss) for the three and nine months ended September 30, 2009 and 2008:</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5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2009</w:t>
            </w: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available to common stockholders</w:t>
            </w:r>
          </w:p>
        </w:tc>
        <w:tc>
          <w:tcPr>
            <w:tcW w:w="2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$ 3,994</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(1,075)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Other comprehensive income/(loss):</w:t>
            </w:r>
          </w:p>
        </w:tc>
        <w:tc>
          <w:tcPr>
            <w:tcW w:w="2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Unrealized gain/(loss) on effective cash flow hedges</w:t>
            </w:r>
          </w:p>
        </w:tc>
        <w:tc>
          <w:tcPr>
            <w:tcW w:w="2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2,519</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286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1,041</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Retirement benefits</w:t>
            </w:r>
          </w:p>
        </w:tc>
        <w:tc>
          <w:tcPr>
            <w:tcW w:w="2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420"/>
              <w:spacing w:after="0"/>
              <w:rPr>
                <w:sz w:val="20"/>
                <w:szCs w:val="20"/>
                <w:color w:val="auto"/>
              </w:rPr>
            </w:pPr>
            <w:r>
              <w:rPr>
                <w:rFonts w:ascii="Arial" w:cs="Arial" w:eastAsia="Arial" w:hAnsi="Arial"/>
                <w:sz w:val="18"/>
                <w:szCs w:val="18"/>
                <w:color w:val="auto"/>
              </w:rPr>
              <w:t>Total other comprehensive income/(loss)</w:t>
            </w:r>
          </w:p>
        </w:tc>
        <w:tc>
          <w:tcPr>
            <w:tcW w:w="2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2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2,545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5,919</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(25,725)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income/(loss)</w:t>
            </w:r>
          </w:p>
        </w:tc>
        <w:tc>
          <w:tcPr>
            <w:tcW w:w="2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$ 6,539</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(3,965)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14,048</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(14,736)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0" w:type="dxa"/>
            <w:vAlign w:val="bottom"/>
            <w:vMerge w:val="restart"/>
          </w:tcPr>
          <w:p>
            <w:pPr>
              <w:jc w:val="right"/>
              <w:ind w:right="1632"/>
              <w:spacing w:after="0"/>
              <w:rPr>
                <w:sz w:val="20"/>
                <w:szCs w:val="20"/>
                <w:color w:val="auto"/>
              </w:rPr>
            </w:pPr>
            <w:r>
              <w:rPr>
                <w:rFonts w:ascii="Arial" w:cs="Arial" w:eastAsia="Arial" w:hAnsi="Arial"/>
                <w:sz w:val="18"/>
                <w:szCs w:val="18"/>
                <w:color w:val="auto"/>
              </w:rPr>
              <w:t>11</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three months ended September 30, 2009, the Company did not acquire any shares of common stock from employees in connection with withholding tax payments related to the vesting of restricted stock. During the nine months ended September 30, 2009, the Company acquired 4,329 shares of common stock from employees in connection with withholding tax payments related to the vesting of restricted stock for a total consideration of $39. The purchase price of $9.08 per share was the average of the high and low price of the Company’s shares of common stock on the Nasdaq Global Select Market on the trading day prior to the vesting date of the shares of restricted stock. These shares are held as treasury stock.</w:t>
      </w:r>
    </w:p>
    <w:p>
      <w:pPr>
        <w:spacing w:after="0" w:line="11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During the three months ended September 30, 2009, the Company did not purchase any shares of its common stock as part of its previously announced share repurchase program. During the nine months ended September 30, 2009, the Company purchased 5,621 shares of its common stock for an aggregate purchase price of approximately $34, excluding commissions, representing an average purchase price per share of $6.11. These shares were purchased as part of the share repurchase program that authorized the purchase of up to $10,000 of the Company’s outstanding common stock on or prior to November 2009. Repurchased shares have been recorded as treasury shares and will be held until the Company’s board of directors designates that these shares be retired or used for other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Company’s Gratuity Plan applicable to India-based employees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w w:val="84"/>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9"/>
              </w:rPr>
              <w:t>2009</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2009</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7500" w:type="dxa"/>
            <w:vAlign w:val="bottom"/>
          </w:tcPr>
          <w:p>
            <w:pPr>
              <w:spacing w:after="0"/>
              <w:rPr>
                <w:sz w:val="20"/>
                <w:szCs w:val="20"/>
                <w:color w:val="auto"/>
              </w:rPr>
            </w:pPr>
            <w:r>
              <w:rPr>
                <w:rFonts w:ascii="Arial" w:cs="Arial" w:eastAsia="Arial" w:hAnsi="Arial"/>
                <w:sz w:val="18"/>
                <w:szCs w:val="18"/>
                <w:color w:val="auto"/>
              </w:rPr>
              <w:t>Net gratuity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337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r>
      <w:tr>
        <w:trPr>
          <w:trHeight w:val="20"/>
        </w:trPr>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maintains the Exl Service Inc. 401(k) Plan and the Inductis 401(k) Profit Sharing Plan, (the “401(k) Plans”) under Section 401(k) of the Internal Revenue Code covering all eligible employees, as defined. The Company may make discretionary contributions of up to a maximum of 3% of employee compensation within certain limits. The Company’s contribution to the 401(k) Plans amounted to $78 and $70 during the three months ended September 30, 2009 and 2008, respectively and $155 and $263 during the nine months ended September 30, 2009 and 2008, respectively.</w:t>
      </w:r>
    </w:p>
    <w:p>
      <w:pPr>
        <w:spacing w:after="0" w:line="11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 contributes to various defined contribution plans on behalf of its employees in India, Philippines and the Czech Republic. The assets held by the plans are not reported on the Company’s balance sheet. The contributions made to the plans for each period are as follows:</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9"/>
              </w:rPr>
              <w:t>Three months ended September 30, 2009</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w w:val="99"/>
              </w:rPr>
              <w:t>Three months ended September 30, 2008</w:t>
            </w:r>
          </w:p>
        </w:tc>
        <w:tc>
          <w:tcPr>
            <w:tcW w:w="4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2009</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1,642</w:t>
            </w: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Nine months ended September 30, 2008</w:t>
            </w:r>
          </w:p>
        </w:tc>
        <w:tc>
          <w:tcPr>
            <w:tcW w:w="4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1,470</w:t>
            </w:r>
          </w:p>
        </w:tc>
      </w:tr>
      <w:tr>
        <w:trPr>
          <w:trHeight w:val="356"/>
        </w:trPr>
        <w:tc>
          <w:tcPr>
            <w:tcW w:w="3340" w:type="dxa"/>
            <w:vAlign w:val="bottom"/>
          </w:tcPr>
          <w:p>
            <w:pPr>
              <w:spacing w:after="0"/>
              <w:rPr>
                <w:sz w:val="24"/>
                <w:szCs w:val="24"/>
                <w:color w:val="auto"/>
              </w:rPr>
            </w:pPr>
          </w:p>
        </w:tc>
        <w:tc>
          <w:tcPr>
            <w:tcW w:w="4000" w:type="dxa"/>
            <w:vAlign w:val="bottom"/>
          </w:tcPr>
          <w:p>
            <w:pPr>
              <w:jc w:val="right"/>
              <w:ind w:right="3292"/>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leases motor vehicles for some of its employees. Such leases are recorded as capital leases. Future minimum lease payments under these capital leases at September 30, 2009 are as follows: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September 30,</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2010</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152</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2012</w:t>
            </w:r>
          </w:p>
        </w:tc>
        <w:tc>
          <w:tcPr>
            <w:tcW w:w="2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w:t>
            </w: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w:t>
            </w: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Less: current portion</w:t>
            </w:r>
          </w:p>
        </w:tc>
        <w:tc>
          <w:tcPr>
            <w:tcW w:w="2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137</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conducts its operations using facilities leased under operating lease agreements that expire through February 2014. Future minimum lease payments under non-cancelable operating lease agreements expiring after more than twelve months are as follows: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September 30,</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2010</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$2,953</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2,741</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2012</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1,074</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2014</w:t>
            </w:r>
          </w:p>
        </w:tc>
        <w:tc>
          <w:tcPr>
            <w:tcW w:w="25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7,715</w:t>
            </w: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operating leases are subject to renewal periodically and have scheduled rent increases. The Company accounts for scheduled rent on a straight line basis over the lease period. Rent expense under both cancelable and non-cancelable operating leases was $1,567 and $1,236 for the three months ended September 30, 2009 and 2008, respectively. Rent expense under both cancelable and non-cancelable operating leases was $4,249 and $3,874 for the nine months ended September 30, 2009 and 2008,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recorded income tax expense/(benefit) of ($541) and ($589) for the three months ended September 30, 2009 and 2008, respectively. The Company recorded income tax expense/(benefit) of ($169) and ($984) for the nine months ended September 30, 2009 and 2008, respectively. The effective rate of taxes attributable to continuing operations was a tax benefit of 15.7% and 274.1% for the three months ended September 30, 2009 and 2008, respectively. The effective rate of taxes attributable to continuing operations was a tax benefit of 2.7% and 14.7% for the nine months ended September 30, 2009 and 2008, respectively.</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Certain units of the Company’s Indian subsidiaries qualify for an exemption from taxable income under section 10A or 10B of the Indian Income Tax Act because their profits are attributable to work performed in Export Processing Zones. This exemption is available for a period of ten consecutive years beginning with the financial year in which the entity begins to manufacture or produce eliglible goods and services. During the three months ended September 30, 2009, the Indian parliament effected amendments to the Indian Income Tax Act and extended the tax holiday for eligible units. However, due to uncertainty relating to the availability of the tax holiday period for some of its units, the Company created a reserve of $2,710 during the three months ended September 30, 2009. After the expiration of the tax holiday period for some of the units of the Company on April 1, 2010, any profits from such units will be fully taxable.</w:t>
      </w:r>
    </w:p>
    <w:p>
      <w:pPr>
        <w:spacing w:after="0" w:line="12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September 30, 2009, the Company performed an analysis of the deferred tax asset valuation allowance for certain units of its Indian subsidiaries. Previously, the Company believed that there was uncertainty relating to the possible extension of the tax holiday for certain units and accordingly determined that it was more likely than not that the Company’s deferred tax assets were not going to be utilized due to the tax holiday and possible extension of that tax holiday. Accordingly, a full valuation allowance offsetting these deferred tax assets was recorded. Due to the recent amendments of the Indian Income Tax Act mentioned above, the Company released the valuation allowance relating to those units and recognized an income tax benefit of $3,689 in the unaudited consolidated statement of income for the three months ended September 30, 2009. The Company continues to record a valuation allowance on deferred tax assets pertaining to those units of the Company’s subsidiaries for which the tax holiday period is definitively extended. The valuation allowance as of September 30, 2009 and December 31, 2008 was approximately $1,398 and $4,010, respectively.</w:t>
      </w:r>
    </w:p>
    <w:p>
      <w:pPr>
        <w:sectPr>
          <w:pgSz w:w="11900" w:h="16838" w:orient="portrait"/>
          <w:cols w:equalWidth="0" w:num="1">
            <w:col w:w="11420"/>
          </w:cols>
          <w:pgMar w:left="240" w:top="459" w:right="2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2009</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During 2007, the Indian government passed tax legislation that, among other items, subjects Indian taxpayers to a Minimum Alternative Tax (“MAT”). As of September 30, 2009 and December 31, 2008, deferred income taxes related to the MAT were approximately $3,409 and $2,109, respectively.</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provision for income taxes also includes the impact of provisions established for uncertain income tax positions determined in accordance with ASC No. 740, “</w:t>
      </w:r>
      <w:r>
        <w:rPr>
          <w:rFonts w:ascii="Arial" w:cs="Arial" w:eastAsia="Arial" w:hAnsi="Arial"/>
          <w:sz w:val="16"/>
          <w:szCs w:val="16"/>
          <w:i w:val="1"/>
          <w:iCs w:val="1"/>
          <w:color w:val="auto"/>
        </w:rPr>
        <w:t>Income Taxes</w:t>
      </w:r>
      <w:r>
        <w:rPr>
          <w:rFonts w:ascii="Arial" w:cs="Arial" w:eastAsia="Arial" w:hAnsi="Arial"/>
          <w:sz w:val="16"/>
          <w:szCs w:val="16"/>
          <w:color w:val="auto"/>
        </w:rPr>
        <w:t>” (“ASC No. 740”) as well as the related net interest. Tax exposures can involve complex issues and may require extended periods to resolve.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provision for income taxes in the period in which such determination is made.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activity related to the gross unrecognized tax benefits from January 1, 2009 through September 30, 2009:</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2,710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2,710</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w w:val="90"/>
              </w:rPr>
              <w:t>The unrecognized tax benefits as of September 30, 2009 of $2,710, if recognized, would impact the effective tax rate.</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4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did not recognize any interest and penalties during the three and nine months ended September 2009. The unrecognized tax benefits may increase or decrease in the next 12 months depending on the Company’s tax positions.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costs related to the Company’s stock-based compensation plan are included in the unaudited consolidated statement of income:</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Three months ended</w:t>
            </w:r>
          </w:p>
        </w:tc>
        <w:tc>
          <w:tcPr>
            <w:tcW w:w="160" w:type="dxa"/>
            <w:vAlign w:val="bottom"/>
          </w:tcPr>
          <w:p>
            <w:pPr>
              <w:spacing w:after="0"/>
              <w:rPr>
                <w:sz w:val="14"/>
                <w:szCs w:val="14"/>
                <w:color w:val="auto"/>
              </w:rPr>
            </w:pPr>
          </w:p>
        </w:tc>
        <w:tc>
          <w:tcPr>
            <w:tcW w:w="1360" w:type="dxa"/>
            <w:vAlign w:val="bottom"/>
            <w:gridSpan w:val="5"/>
          </w:tcPr>
          <w:p>
            <w:pPr>
              <w:ind w:left="120"/>
              <w:spacing w:after="0"/>
              <w:rPr>
                <w:sz w:val="20"/>
                <w:szCs w:val="20"/>
                <w:color w:val="auto"/>
              </w:rPr>
            </w:pPr>
            <w:r>
              <w:rPr>
                <w:rFonts w:ascii="Arial" w:cs="Arial" w:eastAsia="Arial" w:hAnsi="Arial"/>
                <w:sz w:val="14"/>
                <w:szCs w:val="14"/>
                <w:b w:val="1"/>
                <w:bCs w:val="1"/>
                <w:color w:val="auto"/>
                <w:w w:val="93"/>
              </w:rPr>
              <w:t>Nine months ended</w:t>
            </w:r>
          </w:p>
        </w:tc>
      </w:t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4"/>
                <w:szCs w:val="14"/>
                <w:color w:val="auto"/>
              </w:rPr>
            </w:pPr>
          </w:p>
        </w:tc>
        <w:tc>
          <w:tcPr>
            <w:tcW w:w="13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9"/>
              </w:rPr>
              <w:t>2009</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$ 1,096</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0" w:type="dxa"/>
            <w:vAlign w:val="bottom"/>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778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2,564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2,341</w:t>
            </w:r>
          </w:p>
        </w:tc>
        <w:tc>
          <w:tcPr>
            <w:tcW w:w="2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1,102</w:t>
            </w:r>
          </w:p>
        </w:tc>
        <w:tc>
          <w:tcPr>
            <w:tcW w:w="20" w:type="dxa"/>
            <w:vAlign w:val="bottom"/>
          </w:tcPr>
          <w:p>
            <w:pPr>
              <w:spacing w:after="0"/>
              <w:rPr>
                <w:sz w:val="18"/>
                <w:szCs w:val="18"/>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1,876</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1,551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$ 5,389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4,426</w:t>
            </w: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Effective April 1, 2007 the Indian government enacted a Fringe Benefit Tax (“FBT”) on equity compensation. In July 2009, the Indian government abolished the FBT effective April 1, 2009. The FBT was calculated on the difference between the fair market value as of the vesting date and the exercise price of the equity compensation awards granted to India-based employees. For the three months ended September 30, 2009 and 2008, the Company recorded FBT expense of approximately $0 and $18, respectively. For the nine months ended September 30, 2009 and 2008, the Company recorded FBT expense of approximately $179 and $218, respectively. The Company recovered FBT from its India-based employees, and such recovery was treated as an additional exercise price and was recorded as additional paid-in capital in the unaudited consolidated balance sheet. Since abolition of FBT results in a change in exercise price for its India-based employees, the Company has to re-compute the fair value of the outstanding stock options and restricted stock on the date of the modification. For the three and nine months ended September 30, 2009, the Company has recognized expense of approximately $301 as a result of such modification.</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fair value of each stock option granted to employees not subject to the FBT is estimated on the date of grant using the Black-Scholes option-pricing model and the fair value of each stock option granted to employees subject to the FBT was estimated at the date of grant using the Monte Carlo simulation model with the following weighted average assumptions: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1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5"/>
              </w:rPr>
              <w:t>Three months ended</w:t>
            </w:r>
          </w:p>
        </w:tc>
        <w:tc>
          <w:tcPr>
            <w:tcW w:w="16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8"/>
              </w:rPr>
              <w:t>Nine months ended</w:t>
            </w:r>
          </w:p>
        </w:tc>
      </w:tr>
      <w:tr>
        <w:trPr>
          <w:trHeight w:val="161"/>
        </w:trPr>
        <w:tc>
          <w:tcPr>
            <w:tcW w:w="6700" w:type="dxa"/>
            <w:vAlign w:val="bottom"/>
          </w:tcPr>
          <w:p>
            <w:pPr>
              <w:spacing w:after="0"/>
              <w:rPr>
                <w:sz w:val="14"/>
                <w:szCs w:val="14"/>
                <w:color w:val="auto"/>
              </w:rPr>
            </w:pPr>
          </w:p>
        </w:tc>
        <w:tc>
          <w:tcPr>
            <w:tcW w:w="120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7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2008</w:t>
            </w:r>
          </w:p>
        </w:tc>
        <w:tc>
          <w:tcPr>
            <w:tcW w:w="5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Expected life (years)</w:t>
            </w: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5.10</w:t>
            </w: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4.56</w:t>
            </w: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2.52%</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22"/>
        </w:trPr>
        <w:tc>
          <w:tcPr>
            <w:tcW w:w="6700" w:type="dxa"/>
            <w:vAlign w:val="bottom"/>
          </w:tcPr>
          <w:p>
            <w:pPr>
              <w:spacing w:after="0"/>
              <w:rPr>
                <w:sz w:val="20"/>
                <w:szCs w:val="20"/>
                <w:color w:val="auto"/>
              </w:rPr>
            </w:pPr>
            <w:r>
              <w:rPr>
                <w:rFonts w:ascii="Arial" w:cs="Arial" w:eastAsia="Arial" w:hAnsi="Arial"/>
                <w:sz w:val="18"/>
                <w:szCs w:val="18"/>
                <w:color w:val="auto"/>
              </w:rPr>
              <w:t>Volatility</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38%</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50%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39%</w:t>
            </w:r>
          </w:p>
        </w:tc>
      </w:tr>
    </w:tbl>
    <w:p>
      <w:pPr>
        <w:spacing w:after="0" w:line="134"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459" w:right="2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stocks of comparative companies. The risk-free interest rate that the Company uses in the option valuation model is based on U.S. treasury zero-coupon bonds with a remaining term similar to the expected term of the options. 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4"/>
              </w:rPr>
              <w:t>Number of</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Aggregate</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Options</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7"/>
              </w:rPr>
              <w:t>Price</w:t>
            </w:r>
          </w:p>
        </w:tc>
        <w:tc>
          <w:tcPr>
            <w:tcW w:w="460" w:type="dxa"/>
            <w:vAlign w:val="bottom"/>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Intrinsic Value</w:t>
            </w:r>
          </w:p>
        </w:tc>
        <w:tc>
          <w:tcPr>
            <w:tcW w:w="4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1,788,751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Granted</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1,642,389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27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(2,064)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46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(181,550)</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18.61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2009</w:t>
            </w: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3,247,526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13,345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September 30, 2009</w:t>
            </w:r>
          </w:p>
        </w:tc>
        <w:tc>
          <w:tcPr>
            <w:tcW w:w="1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853,847</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12.39</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2,636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September 30, 2009</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4,245,327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unrecognized compensation cost for unvested options as of September 30, 2009 is $9,571 which is expected to be expensed over a weighted average period of 2.68 years. The weighted-average fair value of options granted during the three months ended September 30, 2009 and 2008 was $5.26 and $3.30, respectively. The weighted-average fair value of options granted during the nine months ended September 30, 2009 and 2008 was $3.48 and $6.54, respectively. The total fair value of shares vested during the three months ended September 30, 2009 is $574. The total fair value of shares vested during the nine months ended September 30, 2009 is $2,273.</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740" w:type="dxa"/>
            <w:vAlign w:val="bottom"/>
            <w:gridSpan w:val="5"/>
          </w:tcPr>
          <w:p>
            <w:pPr>
              <w:jc w:val="right"/>
              <w:ind w:right="316"/>
              <w:spacing w:after="0"/>
              <w:rPr>
                <w:sz w:val="20"/>
                <w:szCs w:val="20"/>
                <w:color w:val="auto"/>
              </w:rPr>
            </w:pPr>
            <w:r>
              <w:rPr>
                <w:rFonts w:ascii="Arial" w:cs="Arial" w:eastAsia="Arial" w:hAnsi="Arial"/>
                <w:sz w:val="14"/>
                <w:szCs w:val="14"/>
                <w:b w:val="1"/>
                <w:bCs w:val="1"/>
                <w:color w:val="auto"/>
              </w:rPr>
              <w:t>Restricted Stock</w:t>
            </w:r>
          </w:p>
        </w:tc>
        <w:tc>
          <w:tcPr>
            <w:tcW w:w="400" w:type="dxa"/>
            <w:vAlign w:val="bottom"/>
          </w:tcPr>
          <w:p>
            <w:pPr>
              <w:spacing w:after="0"/>
              <w:rPr>
                <w:sz w:val="14"/>
                <w:szCs w:val="14"/>
                <w:color w:val="auto"/>
              </w:rPr>
            </w:pPr>
          </w:p>
        </w:tc>
        <w:tc>
          <w:tcPr>
            <w:tcW w:w="1680" w:type="dxa"/>
            <w:vAlign w:val="bottom"/>
            <w:gridSpan w:val="5"/>
          </w:tcPr>
          <w:p>
            <w:pPr>
              <w:ind w:left="180"/>
              <w:spacing w:after="0"/>
              <w:rPr>
                <w:sz w:val="20"/>
                <w:szCs w:val="20"/>
                <w:color w:val="auto"/>
              </w:rPr>
            </w:pPr>
            <w:r>
              <w:rPr>
                <w:rFonts w:ascii="Arial" w:cs="Arial" w:eastAsia="Arial" w:hAnsi="Arial"/>
                <w:sz w:val="14"/>
                <w:szCs w:val="14"/>
                <w:b w:val="1"/>
                <w:bCs w:val="1"/>
                <w:color w:val="auto"/>
                <w:w w:val="99"/>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4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5"/>
              </w:rPr>
              <w:t>Value</w:t>
            </w:r>
          </w:p>
        </w:tc>
        <w:tc>
          <w:tcPr>
            <w:tcW w:w="4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578,246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(122,804)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(50,056)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18.98</w:t>
            </w:r>
          </w:p>
        </w:tc>
        <w:tc>
          <w:tcPr>
            <w:tcW w:w="40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405,386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2009, unrecognized compensation cost of $6,294 is expected to be expensed over a weighted average period of 1.98 years.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Client and Advisory Board Options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the execution of a five-year services agreement, the Company issued options to purchase 230,200 shares of common stock at an exercise price of $6.25 per share in July 2004 to one of its clients. The options are fully exercisable and expire ten years from the date of grant. The value of the options on the date of issuance, using the Black-Scholes option-pricing model, was approximately $1,792. Such amount is being amortized as a reduction in revenue over the five-year term of the services agreement which expired in March 2009. Amortization for the three months ended September 30, 2009 and 2008 was $0 and $90, respectively. Amortization for the nine months ended September 30, 2009 and 2008 was $60 and $269, respectively.</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During the three months ended September 30, 2009 and 2008, the Company recorded compensation expense/(income) of $24 and ($26), respectively related to stock options granted to members of the Company’s advisory board. For the nine months ended September 30, 2009 and 2008, the Company recorded compensation expense/(income) of $50 and ($75), respectively. The fair value and related compensation expense will be calculated for the unvested portion of these options at the end of each reporting period until such options are fully vested.</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January 15, 2008, the Company purchased net assets for a consideration of $1,508 from a company controlled by entities related to the Oak Hill Partnerships, one of the Company’s significant stockholders. The Company recorded expenses of $0 and $394 for the nine months ended September 30, 2009 and 2008, respectively, for transition services performed by the seller prior to the acquisition. As of September 30, 2009 and December 31, 2008, the Company had no amounts payable related to these transactions.</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provides services to Duane Reade Holdings, Inc., a New York City drugstore chain. Duane Reade Holdings, Inc. is indirectly owned by entities related to the Oak Hill Partnerships, one of the Company’s significant stockholders. The Company recognized revenue of approximately $167 and $219 during the three months ended September 30, 2009 and 2008, respectively, and $387 and $234 during the nine months ended September 30, 2009 and 2008, respectively, for fees and expense reimbursements from Duane Reade Holdings, Inc. At September 30, 2009 and December 31, 2008, the Company had an account receivable of $61 and $89, respectively, related to these services.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provides services to Oak Hill Capital Partners, one of the Company’s significant stockholders. The Company recognized revenue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$12 and $0 during the three months ended September 30, 2009 and 2008, respectively, and $19 and $0 during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2009 and 2008, respectively, for fees and expense reimbursements from Oak Hill Capital Partners. At September 30, 2009 and December 31, 2008,</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an account receivable of $4 and $0, respectively, related to these services.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56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w w:val="98"/>
              </w:rPr>
              <w:t>Three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85"/>
              </w:rPr>
              <w:t>September 30,</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80" w:type="dxa"/>
            <w:vAlign w:val="bottom"/>
            <w:tcBorders>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United States</w:t>
            </w:r>
          </w:p>
        </w:tc>
        <w:tc>
          <w:tcPr>
            <w:tcW w:w="3620" w:type="dxa"/>
            <w:vAlign w:val="bottom"/>
            <w:gridSpan w:val="3"/>
          </w:tcPr>
          <w:p>
            <w:pPr>
              <w:jc w:val="right"/>
              <w:ind w:right="400"/>
              <w:spacing w:after="0"/>
              <w:rPr>
                <w:sz w:val="20"/>
                <w:szCs w:val="20"/>
                <w:color w:val="auto"/>
              </w:rPr>
            </w:pPr>
            <w:r>
              <w:rPr>
                <w:rFonts w:ascii="Arial" w:cs="Arial" w:eastAsia="Arial" w:hAnsi="Arial"/>
                <w:sz w:val="18"/>
                <w:szCs w:val="18"/>
                <w:color w:val="auto"/>
              </w:rPr>
              <w:t>$31,148</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$26,084</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85,369</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15,536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Rest of World</w:t>
            </w:r>
          </w:p>
        </w:tc>
        <w:tc>
          <w:tcPr>
            <w:tcW w:w="26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1,502</w:t>
            </w:r>
          </w:p>
        </w:tc>
        <w:tc>
          <w:tcPr>
            <w:tcW w:w="580" w:type="dxa"/>
            <w:vAlign w:val="bottom"/>
          </w:tcPr>
          <w:p>
            <w:pPr>
              <w:jc w:val="right"/>
              <w:spacing w:after="0"/>
              <w:rPr>
                <w:sz w:val="20"/>
                <w:szCs w:val="20"/>
                <w:color w:val="auto"/>
              </w:rPr>
            </w:pPr>
            <w:r>
              <w:rPr>
                <w:rFonts w:ascii="Arial" w:cs="Arial" w:eastAsia="Arial" w:hAnsi="Arial"/>
                <w:sz w:val="18"/>
                <w:szCs w:val="18"/>
                <w:color w:val="auto"/>
              </w:rPr>
              <w:t>207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48,186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46,573</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131,557</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138,019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8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4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2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India</w:t>
            </w:r>
          </w:p>
        </w:tc>
        <w:tc>
          <w:tcPr>
            <w:tcW w:w="2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17,595</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2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United States</w:t>
            </w:r>
          </w:p>
        </w:tc>
        <w:tc>
          <w:tcPr>
            <w:tcW w:w="2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22,702</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24,518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right="8660" w:hanging="232"/>
        <w:spacing w:after="0" w:line="417" w:lineRule="auto"/>
        <w:tabs>
          <w:tab w:leader="none" w:pos="275"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At September 30, 2009, the Company had committed to spend approximately $1,822 under agreements to purchase fixed assets. This amount is net of advances paid in respect of these purchases.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Certain units of the Company’s Indian subsidiaries have been established as 100% Export-Oriented units under the “Export Import Policy” (the “Policy”) or Software Technology Parks of India units (“STPI”) under the STPI guidelines issued by the Government of India that has provided the Company with certain incentives on imported and indigenous capital goods. Under this policy, these units must achieve certain export ratios and realize revenues attributable to exports over a specified period. In the event that these units are unable to meet the requirements over the specified period, the Company may be required to refund these incentives along with penalties and fines. However, management believes that these units will achieve the export levels within the required timeframe as they have consistently generated the required levels of export revenues.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Exl Philippines is registered as an Ecozone IT Enterprise with the Philippines Economic Zone Authority. Exl Philippines has an export obligation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$13,100 during the three year period ending March 2011. The registration has also provided the Company with certain incentives on the import of capital goods.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Exl Philippines will achieve these export levels within the required timeframe.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If the applicable income tax authorities review any of the Company’s tax returns and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six assessment orders from the Indian tax authorities with respect to their audit of certain of the Company’s subsidiaries. The Indian tax authorities are examining income tax returns for other tax years. The details of the assessment orders as of September 30, 2009 are as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80" w:type="dxa"/>
            <w:vAlign w:val="bottom"/>
            <w:vMerge w:val="restart"/>
          </w:tcPr>
          <w:p>
            <w:pPr>
              <w:ind w:left="3880"/>
              <w:spacing w:after="0"/>
              <w:rPr>
                <w:sz w:val="20"/>
                <w:szCs w:val="20"/>
                <w:color w:val="auto"/>
              </w:rPr>
            </w:pPr>
            <w:r>
              <w:rPr>
                <w:rFonts w:ascii="Arial" w:cs="Arial" w:eastAsia="Arial" w:hAnsi="Arial"/>
                <w:sz w:val="14"/>
                <w:szCs w:val="14"/>
                <w:b w:val="1"/>
                <w:bCs w:val="1"/>
                <w:color w:val="auto"/>
              </w:rPr>
              <w:t>Issue</w:t>
            </w: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61"/>
        </w:trPr>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Tax Year</w:t>
            </w:r>
          </w:p>
        </w:tc>
        <w:tc>
          <w:tcPr>
            <w:tcW w:w="220" w:type="dxa"/>
            <w:vAlign w:val="bottom"/>
          </w:tcPr>
          <w:p>
            <w:pPr>
              <w:spacing w:after="0"/>
              <w:rPr>
                <w:sz w:val="14"/>
                <w:szCs w:val="14"/>
                <w:color w:val="auto"/>
              </w:rPr>
            </w:pPr>
          </w:p>
        </w:tc>
        <w:tc>
          <w:tcPr>
            <w:tcW w:w="8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Demanded</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Deposited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700" w:type="dxa"/>
            <w:vAlign w:val="bottom"/>
            <w:gridSpan w:val="2"/>
            <w:shd w:val="clear" w:color="auto" w:fill="CCEEFF"/>
          </w:tcPr>
          <w:p>
            <w:pPr>
              <w:jc w:val="center"/>
              <w:ind w:left="12"/>
              <w:spacing w:after="0" w:line="201" w:lineRule="exact"/>
              <w:rPr>
                <w:sz w:val="20"/>
                <w:szCs w:val="20"/>
                <w:color w:val="auto"/>
              </w:rPr>
            </w:pPr>
            <w:r>
              <w:rPr>
                <w:rFonts w:ascii="Arial" w:cs="Arial" w:eastAsia="Arial" w:hAnsi="Arial"/>
                <w:sz w:val="18"/>
                <w:szCs w:val="18"/>
                <w:color w:val="auto"/>
                <w:w w:val="90"/>
              </w:rPr>
              <w:t>2003-04</w:t>
            </w:r>
          </w:p>
        </w:tc>
        <w:tc>
          <w:tcPr>
            <w:tcW w:w="220" w:type="dxa"/>
            <w:vAlign w:val="bottom"/>
            <w:shd w:val="clear" w:color="auto" w:fill="CCEEFF"/>
          </w:tcPr>
          <w:p>
            <w:pPr>
              <w:spacing w:after="0"/>
              <w:rPr>
                <w:sz w:val="17"/>
                <w:szCs w:val="17"/>
                <w:color w:val="auto"/>
              </w:rPr>
            </w:pPr>
          </w:p>
        </w:tc>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The assessment order alleges that the transfer price the Company applied to transactions between Exl India and</w:t>
            </w:r>
          </w:p>
        </w:tc>
        <w:tc>
          <w:tcPr>
            <w:tcW w:w="8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$2,000</w:t>
            </w:r>
          </w:p>
        </w:tc>
        <w:tc>
          <w:tcPr>
            <w:tcW w:w="8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w w:val="89"/>
              </w:rPr>
              <w:t>Exl Inc. in the 2003-04 tax year was not appropriate and disallows certain expenses claimed as tax deductible by</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Exl India</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780" w:type="dxa"/>
            <w:vAlign w:val="bottom"/>
            <w:gridSpan w:val="3"/>
          </w:tcPr>
          <w:p>
            <w:pPr>
              <w:spacing w:after="0"/>
              <w:rPr>
                <w:sz w:val="20"/>
                <w:szCs w:val="20"/>
                <w:color w:val="auto"/>
              </w:rPr>
            </w:pPr>
            <w:r>
              <w:rPr>
                <w:rFonts w:ascii="Arial" w:cs="Arial" w:eastAsia="Arial" w:hAnsi="Arial"/>
                <w:sz w:val="18"/>
                <w:szCs w:val="18"/>
                <w:color w:val="auto"/>
              </w:rPr>
              <w:t>Exl India</w:t>
            </w:r>
          </w:p>
        </w:tc>
        <w:tc>
          <w:tcPr>
            <w:tcW w:w="700" w:type="dxa"/>
            <w:vAlign w:val="bottom"/>
            <w:gridSpan w:val="2"/>
          </w:tcPr>
          <w:p>
            <w:pPr>
              <w:jc w:val="center"/>
              <w:ind w:left="12"/>
              <w:spacing w:after="0"/>
              <w:rPr>
                <w:sz w:val="20"/>
                <w:szCs w:val="20"/>
                <w:color w:val="auto"/>
              </w:rPr>
            </w:pPr>
            <w:r>
              <w:rPr>
                <w:rFonts w:ascii="Arial" w:cs="Arial" w:eastAsia="Arial" w:hAnsi="Arial"/>
                <w:sz w:val="18"/>
                <w:szCs w:val="18"/>
                <w:color w:val="auto"/>
                <w:w w:val="90"/>
              </w:rPr>
              <w:t>2004-05</w:t>
            </w:r>
          </w:p>
        </w:tc>
        <w:tc>
          <w:tcPr>
            <w:tcW w:w="2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The assessment order alleges that the transfer price the Company applied to transactions between Exl India and</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$2,000</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Exl Inc. for the 2004-05 tax year was not appropriate and disallows certain expenses claimed as tax deductible by</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Exl India</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India</w:t>
            </w:r>
          </w:p>
        </w:tc>
        <w:tc>
          <w:tcPr>
            <w:tcW w:w="7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2005-06</w:t>
            </w:r>
          </w:p>
        </w:tc>
        <w:tc>
          <w:tcPr>
            <w:tcW w:w="22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w w:val="90"/>
              </w:rPr>
              <w:t>The assessment order alleges that the transfer price the Company applied to transactions between Exl India and</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$5,100</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w w:val="89"/>
              </w:rPr>
              <w:t>Exl Inc. for the 2005-06 tax year was not appropriate and disallows certain expenses claimed as tax deductible by</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Exl India</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780" w:type="dxa"/>
            <w:vAlign w:val="bottom"/>
            <w:gridSpan w:val="3"/>
          </w:tcPr>
          <w:p>
            <w:pPr>
              <w:spacing w:after="0"/>
              <w:rPr>
                <w:sz w:val="20"/>
                <w:szCs w:val="20"/>
                <w:color w:val="auto"/>
              </w:rPr>
            </w:pPr>
            <w:r>
              <w:rPr>
                <w:rFonts w:ascii="Arial" w:cs="Arial" w:eastAsia="Arial" w:hAnsi="Arial"/>
                <w:sz w:val="18"/>
                <w:szCs w:val="18"/>
                <w:color w:val="auto"/>
              </w:rPr>
              <w:t>Exl Inc.</w:t>
            </w:r>
          </w:p>
        </w:tc>
        <w:tc>
          <w:tcPr>
            <w:tcW w:w="700" w:type="dxa"/>
            <w:vAlign w:val="bottom"/>
            <w:gridSpan w:val="2"/>
          </w:tcPr>
          <w:p>
            <w:pPr>
              <w:jc w:val="center"/>
              <w:ind w:left="12"/>
              <w:spacing w:after="0"/>
              <w:rPr>
                <w:sz w:val="20"/>
                <w:szCs w:val="20"/>
                <w:color w:val="auto"/>
              </w:rPr>
            </w:pPr>
            <w:r>
              <w:rPr>
                <w:rFonts w:ascii="Arial" w:cs="Arial" w:eastAsia="Arial" w:hAnsi="Arial"/>
                <w:sz w:val="18"/>
                <w:szCs w:val="18"/>
                <w:color w:val="auto"/>
                <w:w w:val="90"/>
              </w:rPr>
              <w:t>2003-04</w:t>
            </w:r>
          </w:p>
        </w:tc>
        <w:tc>
          <w:tcPr>
            <w:tcW w:w="2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$3,100</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7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2004-05</w:t>
            </w:r>
          </w:p>
        </w:tc>
        <w:tc>
          <w:tcPr>
            <w:tcW w:w="22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$100</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80" w:type="dxa"/>
            <w:vAlign w:val="bottom"/>
            <w:gridSpan w:val="3"/>
          </w:tcPr>
          <w:p>
            <w:pPr>
              <w:spacing w:after="0"/>
              <w:rPr>
                <w:sz w:val="20"/>
                <w:szCs w:val="20"/>
                <w:color w:val="auto"/>
              </w:rPr>
            </w:pPr>
            <w:r>
              <w:rPr>
                <w:rFonts w:ascii="Arial" w:cs="Arial" w:eastAsia="Arial" w:hAnsi="Arial"/>
                <w:sz w:val="18"/>
                <w:szCs w:val="18"/>
                <w:color w:val="auto"/>
              </w:rPr>
              <w:t>Exl Inc.</w:t>
            </w:r>
          </w:p>
        </w:tc>
        <w:tc>
          <w:tcPr>
            <w:tcW w:w="700" w:type="dxa"/>
            <w:vAlign w:val="bottom"/>
            <w:gridSpan w:val="2"/>
          </w:tcPr>
          <w:p>
            <w:pPr>
              <w:jc w:val="center"/>
              <w:ind w:left="12"/>
              <w:spacing w:after="0"/>
              <w:rPr>
                <w:sz w:val="20"/>
                <w:szCs w:val="20"/>
                <w:color w:val="auto"/>
              </w:rPr>
            </w:pPr>
            <w:r>
              <w:rPr>
                <w:rFonts w:ascii="Arial" w:cs="Arial" w:eastAsia="Arial" w:hAnsi="Arial"/>
                <w:sz w:val="18"/>
                <w:szCs w:val="18"/>
                <w:color w:val="auto"/>
                <w:w w:val="90"/>
              </w:rPr>
              <w:t>2005-06</w:t>
            </w:r>
          </w:p>
        </w:tc>
        <w:tc>
          <w:tcPr>
            <w:tcW w:w="2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$700</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unaudited consolidated financial statements. The Company does not expect any impact from these assessments on its future income tax expense. The Company is subject to U.S. income taxes on the profits it recognizes in the United States. The Company has deposited the entire amount demanded by the Indian tax authorities with respect to the assessment orders received by Exl India for the 2003-04 and 2004-05 tax years and partial amounts with respect to the assessment orders received by Exl India for 2005-06 tax year and by Exl Inc. for the 2003-04, 2004-05 and 2005-06 tax years. There is a likelihood that the Company might receive similar orders for other years until the above disputes are resolved. Amounts paid as deposits in respect of the assessments described above, totaling approximately $7,600 and $5,800 as of September 30, 2009 and December 31, 2008, respectively, are included in “Other assets” in the Company’s unaudited consolidated balance sheet.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order to resolve the outstanding transfer pricing and permanent establishment tax disputes with the Indian tax authorities, the Company has filed requests with the competent authorities in the U.S. to invoke a Mutual Agreement Procedure, or MAP, under the United States – India Income Tax Treaty. As a result of commencing the MAP, the competent authorities in the U.S. will work with the competent authorities in India to propose a resolution to the outstanding tax disputes. The proposed resolution is not binding on the Company. As required by the MAP, the Company obtained bank guarantees of approximately $2,800 in April 2009, and might need to obtain additional bank guarantees to stop the collection of outstanding tax demands by the Indian tax authorities and interest for the assessment orders received by Exl Inc. for the 2003-04, 2004-05 and 2005-06 tax years. If additional assessment orders are received for other years, the Company may invoke the MAP for such orders and would be required to obtain additional bank guarantees.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2009</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Discontinued Operations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August 11, 2008, the Company completed the sale of all of its shares of NCOP to AGSS. The Company received consideration totaling approximately $3,430 ($1,982 in the three months ended September 30, 2008 and $1,448 in the three months ended March 31, 2009). Income/(loss) from discontinued operations, net of income taxes, was $0 for the three months ended September 30, 2009, compared to ($1,449), or ($0.05) per share, for the three months ended September 30, 2008. Income/(loss) from discontinued operations, net of income taxes, was ($139), or ($0.00) per share for the nine months ended September 30, 2009 compared to $3,302 or $0.11 per share, for the nine months ended September 30, 2008.</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shows the major categories for discontinued operations in the unaudited consolidated statements of income for the three and nine months ended September 30, 2009 and 2008:</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4"/>
              </w:rPr>
              <w:t>Three months ended</w:t>
            </w:r>
          </w:p>
        </w:tc>
        <w:tc>
          <w:tcPr>
            <w:tcW w:w="160" w:type="dxa"/>
            <w:vAlign w:val="bottom"/>
          </w:tcPr>
          <w:p>
            <w:pPr>
              <w:spacing w:after="0"/>
              <w:rPr>
                <w:sz w:val="14"/>
                <w:szCs w:val="14"/>
                <w:color w:val="auto"/>
              </w:rPr>
            </w:pPr>
          </w:p>
        </w:tc>
        <w:tc>
          <w:tcPr>
            <w:tcW w:w="14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4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3,080</w:t>
            </w:r>
          </w:p>
        </w:tc>
        <w:tc>
          <w:tcPr>
            <w:tcW w:w="220" w:type="dxa"/>
            <w:vAlign w:val="bottom"/>
          </w:tcPr>
          <w:p>
            <w:pPr>
              <w:spacing w:after="0"/>
              <w:rPr>
                <w:sz w:val="18"/>
                <w:szCs w:val="18"/>
                <w:color w:val="auto"/>
              </w:rPr>
            </w:pPr>
          </w:p>
        </w:tc>
        <w:tc>
          <w:tcPr>
            <w:tcW w:w="800" w:type="dxa"/>
            <w:vAlign w:val="bottom"/>
            <w:gridSpan w:val="3"/>
          </w:tcPr>
          <w:p>
            <w:pPr>
              <w:ind w:left="160"/>
              <w:spacing w:after="0"/>
              <w:rPr>
                <w:sz w:val="20"/>
                <w:szCs w:val="20"/>
                <w:color w:val="auto"/>
              </w:rPr>
            </w:pPr>
            <w:r>
              <w:rPr>
                <w:rFonts w:ascii="Arial" w:cs="Arial" w:eastAsia="Arial" w:hAnsi="Arial"/>
                <w:sz w:val="18"/>
                <w:szCs w:val="18"/>
                <w:color w:val="auto"/>
              </w:rPr>
              <w:t>$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16,398</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7,235</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21"/>
        </w:trPr>
        <w:tc>
          <w:tcPr>
            <w:tcW w:w="7240" w:type="dxa"/>
            <w:vAlign w:val="bottom"/>
          </w:tcPr>
          <w:p>
            <w:pPr>
              <w:spacing w:after="0"/>
              <w:rPr>
                <w:sz w:val="20"/>
                <w:szCs w:val="20"/>
                <w:color w:val="auto"/>
              </w:rPr>
            </w:pPr>
            <w:r>
              <w:rPr>
                <w:rFonts w:ascii="Arial" w:cs="Arial" w:eastAsia="Arial" w:hAnsi="Arial"/>
                <w:sz w:val="18"/>
                <w:szCs w:val="18"/>
                <w:b w:val="1"/>
                <w:bCs w:val="1"/>
                <w:color w:val="auto"/>
              </w:rPr>
              <w:t>Disposal:</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w:t>
            </w:r>
          </w:p>
        </w:tc>
        <w:tc>
          <w:tcPr>
            <w:tcW w:w="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(1,358)</w:t>
            </w:r>
          </w:p>
        </w:tc>
        <w:tc>
          <w:tcPr>
            <w:tcW w:w="800" w:type="dxa"/>
            <w:vAlign w:val="bottom"/>
            <w:gridSpan w:val="3"/>
            <w:shd w:val="clear" w:color="auto" w:fill="CCEEFF"/>
          </w:tcPr>
          <w:p>
            <w:pPr>
              <w:ind w:lef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(1,358)</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(1,449)</w:t>
            </w:r>
          </w:p>
        </w:tc>
        <w:tc>
          <w:tcPr>
            <w:tcW w:w="800" w:type="dxa"/>
            <w:vAlign w:val="bottom"/>
            <w:gridSpan w:val="3"/>
          </w:tcPr>
          <w:p>
            <w:pPr>
              <w:ind w:lef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November 4, 2009, the Company entered into an asset purchase agreement (the “Asset Purchase Agreement”) with American Express pursuant to which the Company acquired the operations of the American Express Global Travel Service Center, a business unit of American Express located in Gurgaon, India, that provides the travel-related business process outsourcing services of American Express. American Express is an existing client of the Company. The purchase price of the transaction is approximately $30 million, including the estimated working capital adjustment. The purchase price will be paid in cash using cash on hand. The Asset Purchase Agreement contains customary representations, warranties and indemnities from both the Company and American Express. The closing of the transactions contemplated by the Asset Purchase Agreement is subject to customary closing conditions as well as regulatory approvals under Indian law. In addition to customary termination provisions, the agreement may be terminated by either party if the purchase does not close before November 1, 2010 or the closing is enjoined or otherwise prohibited by any governmental entity.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Asset Purchase Agreement, the Company and American Express entered into a master services agreement, dated November 4, 2009 (the “Master Services Agreement”), pursuant to which the Company will provide services to the back-office operations of American Express Business Travel pursuant to statements of work to be entered into by the parties. The Master Services Agreement, which is effective as of the closing date under the Asset Purchase Agreement, contains a minimum annual commitment of business volume and expires on the eighth anniversary of the closing date of the transactions under the Asset Purchase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evaluated subsequent events through the date and time the financial statements were issued on November 9,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2008. Some of the statements in the following discussion are forward looking statements. See “Forward Looking Statements.” Dollar amounts within Item 2 are presented as actual dollar amounts.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leading provider of outsourcing and transformation services focused on providing a competitive edge to our clients by outsourcing and transforming their business processes. Our outsourcing services provide integrated front-, middle- and back-office process outsourcing services for our principally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risk and financial management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Global 1000 companies in the insurance, utilities, financial services and transportation and logistics sectors.</w:t>
      </w:r>
    </w:p>
    <w:p>
      <w:pPr>
        <w:spacing w:after="0" w:line="12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market our services directly through our sales and marketing and strategic account management teams, which operate out of the United States and the United Kingdom, and our business development team, which operates out of Noida, India. We currently operate ten operations centers in India and one operations center in the Philippines. On July 3, 2009, we acquired a 100% stake in Schneider Logistics Europe S.R.O. (“Schneider SRO”), which is located in Olomouc, the Czech Republic and which provides complex transaction processing services to its clients in Europe and the U.S. The acquisition provides us with multi-lingual delivery capabilities and a cost effective delivery location in Eastern Europe. We are also in the process of setting up a new operations center in Cluj, Romania.</w:t>
      </w:r>
    </w:p>
    <w:p>
      <w:pPr>
        <w:spacing w:after="0" w:line="10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On August 11, 2008, the Company completed the sale of all of its shares of Noida Customer Operations Private Limited (“NCOP’) to Aviva Global Services Singapore Pte Ltd (“AGSS”). For all periods presented in this Quarterly Report on Form 10-Q, NCOP is reported as a discontinued operation and any discussion throughout this Management’s Discussion and Analysis of Financial Condition and Results of Operations and unaudited consolidated financial statements relates to continuing operations unless otherwise indicated.</w:t>
      </w:r>
    </w:p>
    <w:p>
      <w:pPr>
        <w:spacing w:after="0" w:line="14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generate revenues principally from contracts to provide outsourcing and transformation services. For the three and nine months ended September 30, 2009, we had total revenues of $48.2 million and $131.6 million, respectively, compared to total revenues of $46.6 million and $138.0 million, respectively, for the corresponding period in 2008. The increase in revenues during the three months ended September 30, 2009 as compared to the three months ended September 30, 2008 was primarily due to higher revenues in our outsourcing services segment of $3.1 million as a result of the addition of new clients and volume increases within existing client processes, partially offset by lower revenues in our transformation services segment of $1.5 million as a result of lower client discretionary spending arising out of the continuing broad based weakness in the economy.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anticipate that our revenues will grow as we expand our service offerings and client base, both organically and through acquisitions. We provide our clients with a range of outsourcing services, including insurance services, banking and financial services, utilities support services, finance and accounting services, and collection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outsourcing services, we enter into long-term agreements with our clients with initial terms ranging from three to seven years.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transformation services include various services such as decision analytics services, which are intended to facilitate more effective data-based strategic and operating decisions by our clients, risk and financial management services and operations and process excellence services.</w:t>
      </w:r>
    </w:p>
    <w:p>
      <w:pPr>
        <w:spacing w:after="0" w:line="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transformation services can be, and in the three and nine months ended September 30, 2009, were, significantly affected by variations in business cycles. In addition, our transformation services consist primarily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serve clients mainly in the United States and the United Kingdom, with these two regions generating approximately 64.6% and 32.2%, respectively, of our total revenues for the three months ended September 30, 2009, and approximately 56.0% and 43.5%, respectively, of our total revenues for the three months ended September 30, 2008. For the nine months ended September 30, 2009, these two regions generated approximately 64.9% and 33.5%, respectively, of our total revenues and approximately 54.4% and 45.2%, respectively, of our total revenues for the nine months ended September 30, 2008.</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both the United States and the United Kingdom, there has been recent negative publicity and proposed legislation with regard to outsourcing. If these trends continue and result in the enactment of additional legislation for which we are unable to protect ourselves, contractually or otherwise, our revenues could be materially affected. With the ongoing global economic downturn and resulting increases in unemployment in both of these countries, we expect these publicity and legislative trends to continue and possibly intensify. Our management actively monitors legislative activities in the United States and United Kingdom, both directly and through industry organizations. However, if legislation were enacted in the United Kingdom or the United States that has the effect of severely curtailing our activities in such countries, it is unlikely that we would be able to quickly replace such lost revenues.</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derive a significant portion of our revenues from a limited number of large clients. In the three months ended September 30, 2009 and 2008, our total revenues from our three largest clients were $21.9 million and $20.5 million, respectively, accounting for 45.5% and 44.1% of our total revenues, respectively, during these periods. In the nine months ended September 30, 2009 and 2008, our total revenues from our three largest clients were $58.5 million and $61.0 million, respectively, accounting for 44.5% and 44.2% of our total revenues, respectively, during these periods.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provide services to Centrica, which represented $10.6 million, or 21.9%, and $29.2 million, or 22.2%, of our total revenues, for the three and nine months ended September 30, 2009, respectively, and $10.5 million, or 22.6%, and $34.5 million, or 25.0%, of our total revenues, for the three and nine months ended September 30, 2008, respectively, under an agreement that is scheduled to expire in April 2012.</w:t>
      </w:r>
    </w:p>
    <w:p>
      <w:pPr>
        <w:spacing w:after="0" w:line="10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We derived revenues from five and four new clients during the three months ended September 30, 2009 and 2008, respectively. We derived revenues from ten and fourteen new clients for our services, including transformation services, in the nine months ended September 30, 2009 and 2008, respectively. Although we are increasing and diversifying our customer base, we expect in the near future that a significant portion of our revenues will continue to be contributed by a limited number of large clients.</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recognize revenues from services provided under our client contracts on a cost-plus, time-and-materials, fixed price, contingent fee or unit-price basis. Revenues are recognized on cost-plus contracts on the basis of contractually agreed direct and indirect cost elements incurred on a client contract plus an agreed upon profit mark-up. Revenues are recognized on time-and-material contracts primarily on the basis of full time equivalent employees, including direct and indirect costs, incurred on a client contract. Revenues are recognized on fixed-price contracts using the proportional performance method. Revenues are recognized on contingent fee based contracts when the related contingency has been met to the client’s satisfaction. Revenues are recognized on unit-price based contracts based on the number of specified units of work (such as the number of e-mail responses) delivered to a client.</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September 30, 2009 and 2008, $2.6 million, or 5.3%, and $2.7 million, or 5.9%, respectively, of our revenues represent reimbursement of such expenses. For the nine months ended September 30, 2009 and 2008, $6.6 million, or 5.0%, and $9.3 million, or 6.7%, respectively, of our revenues represent reimbursement of such expenses.</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To the extent our client contracts do not contain provisions to the contrary, we bear the risk of inflation and fluctuations in currency exchange rates with respect to our contracts. We hedge a substantial portion of our Indian rupee/U.S. dollar and U.K. pound sterling/U.S. dollar foreign currency exposure.</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management has observed in recent periods a shift in industry pricing models toward transaction-based pricing. We believe this trend will continue and we have begun to use transaction-based pricing models with some of our current clients and are seeking to move certain other clients from a billing rate model to a transaction-based pricing model. Transaction-based pricing places the focus on operating efficiency in order to maintain our operating margins.</w:t>
      </w:r>
    </w:p>
    <w:p>
      <w:pPr>
        <w:spacing w:after="0" w:line="107"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In addition, we have also observed that prospective larger clients are entering into multi-vendor relationships with regard to their outsourcing needs. Although we have recently had certain clients consolidate their operations within a single service provider, this was done after a period in which the client maintained relationships with multiple vendors and we believe the trend toward multi-vendor relationships will continue. A multi-vendor relationship allows a client to seek more client-friendly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to the extent we are required to modify the terms of our relationship with such clients.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description of our critical accounting policies and estimates, refer our Annual Report on Form 10-K for the year ended December 31, 2008.</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7"/>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460" w:type="dxa"/>
            <w:vAlign w:val="bottom"/>
            <w:vMerge w:val="restart"/>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(In millions)</w:t>
            </w:r>
          </w:p>
        </w:tc>
        <w:tc>
          <w:tcPr>
            <w:tcW w:w="64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6440" w:type="dxa"/>
            <w:vAlign w:val="bottom"/>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2009</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131.6</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138.0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Arial" w:cs="Arial" w:eastAsia="Arial" w:hAnsi="Arial"/>
                <w:sz w:val="18"/>
                <w:szCs w:val="18"/>
                <w:color w:val="auto"/>
              </w:rPr>
              <w:t>Cost of revenues (exclusive of depreciation and amortization)(2)</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2"/>
        </w:trPr>
        <w:tc>
          <w:tcPr>
            <w:tcW w:w="7660" w:type="dxa"/>
            <w:vAlign w:val="bottom"/>
            <w:gridSpan w:val="4"/>
          </w:tcPr>
          <w:p>
            <w:pPr>
              <w:ind w:left="460"/>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7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gridSpan w:val="3"/>
          </w:tcPr>
          <w:p>
            <w:pPr>
              <w:ind w:left="440"/>
              <w:spacing w:after="0"/>
              <w:rPr>
                <w:sz w:val="20"/>
                <w:szCs w:val="20"/>
                <w:color w:val="auto"/>
              </w:rPr>
            </w:pPr>
            <w:r>
              <w:rPr>
                <w:rFonts w:ascii="Arial" w:cs="Arial" w:eastAsia="Arial" w:hAnsi="Arial"/>
                <w:sz w:val="18"/>
                <w:szCs w:val="18"/>
                <w:color w:val="auto"/>
              </w:rPr>
              <w:t>Selling and marketing expenses(3)</w:t>
            </w: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Depreciation and amortization(4)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660" w:type="dxa"/>
            <w:vAlign w:val="bottom"/>
            <w:gridSpan w:val="4"/>
            <w:vMerge w:val="restart"/>
          </w:tcPr>
          <w:p>
            <w:pPr>
              <w:ind w:left="46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Arial" w:cs="Arial" w:eastAsia="Arial" w:hAnsi="Arial"/>
                <w:sz w:val="18"/>
                <w:szCs w:val="18"/>
                <w:color w:val="auto"/>
              </w:rPr>
              <w:t>Other income/(expense):</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Foreign exchange gain/(loss)</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gridSpan w:val="3"/>
          </w:tcPr>
          <w:p>
            <w:pPr>
              <w:ind w:left="440"/>
              <w:spacing w:after="0"/>
              <w:rPr>
                <w:sz w:val="20"/>
                <w:szCs w:val="20"/>
                <w:color w:val="auto"/>
              </w:rPr>
            </w:pPr>
            <w:r>
              <w:rPr>
                <w:rFonts w:ascii="Arial" w:cs="Arial" w:eastAsia="Arial" w:hAnsi="Arial"/>
                <w:sz w:val="18"/>
                <w:szCs w:val="18"/>
                <w:color w:val="auto"/>
              </w:rPr>
              <w:t>Interest and other income, net</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Income/(loss) from continuing operations before income taxes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Arial" w:cs="Arial" w:eastAsia="Arial" w:hAnsi="Arial"/>
                <w:sz w:val="18"/>
                <w:szCs w:val="18"/>
                <w:color w:val="auto"/>
              </w:rPr>
              <w:t>Income tax provision/(benefit)</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00" w:type="dxa"/>
            <w:vAlign w:val="bottom"/>
            <w:gridSpan w:val="3"/>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income/(loss)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84"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accordance with GAAP, we include the amount of telecommunications and travel-related costs that are billed to and reimbursed by our clients in our revenues. Revenues include reimbursable expenses of $2.6 million and $2.7 million for the three months ended September 30, 2009 and 2008, respectively, and $6.6 million and $9.3 million for the nine months ended September 30, 2009 and 2008, respectively.</w:t>
      </w:r>
    </w:p>
    <w:p>
      <w:pPr>
        <w:spacing w:after="0" w:line="1"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revenues includes $0.3 million and $0.4 million for the three months ended September 30, 2009 and 2008, respectively, and $1.1 million and $1.0 million for the nine months ended September 30, 2009 and 2008, respectively, as non-cash amortization of stock compensation expense relating to the issuance of equity awards to employees directly involved in providing services to our clients as described in Note 13 on Stock-Based Compensation in the Notes to Unaudited Consolidated Financial Statements contained herein. Cost of revenues excludes depreciation and amortization related to fixed assets and intangibles.</w:t>
      </w:r>
    </w:p>
    <w:p>
      <w:pPr>
        <w:spacing w:after="0" w:line="2"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and administrative expenses and selling and marketing expenses includes $1.5 million and $1.2 million for the three months ended September 30, 2009 and 2008, respectively, and $4.3 million and $3.4 million for the nine months ended September 30, 2009 and 2008, respectively, as non-cash amortization of stock compensation expense relating to the issuance of equity awards to our non-operations staff as described in Note 13 on Stock-Based Compensation in the Notes to Unaudited Consolidated Financial Statements contained herein.</w:t>
      </w:r>
    </w:p>
    <w:p>
      <w:pPr>
        <w:spacing w:after="0" w:line="2" w:lineRule="exact"/>
        <w:rPr>
          <w:rFonts w:ascii="Arial" w:cs="Arial" w:eastAsia="Arial" w:hAnsi="Arial"/>
          <w:sz w:val="16"/>
          <w:szCs w:val="16"/>
          <w:color w:val="auto"/>
        </w:rPr>
      </w:pPr>
    </w:p>
    <w:p>
      <w:pPr>
        <w:ind w:left="460" w:right="18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and amortization includes $0.1 million each for the three months ended September 30, 2009 and 2008 and $0.1 million and $0.5 million for the nine months ended September 30, 2009 and 2008, respectively, of amortization of intangibles.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September 30, 2009 Compared to Three Months Ended September 30, 2008</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color w:val="auto"/>
        </w:rPr>
        <w:t>. Revenues increased 3.5% from $46.6 million for the three months ended September 30, 2008 to $48.2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2009. Revenues from outsourcing services increased by $3.1 million during the three months ended September 30, 2009 compared to the three months ended September 30, 2008 as a result of revenues from new clients, volume increases within existing processes and the addition of 32 new processes aggregating to $5.2 million, partially offset by a $2.1 million reduction due to the appreciation of the U.S. dollar against the U.K. pound sterling. Revenues from new clients for outsourcing services were $1.7 million and $0 million during the three months ended September 30, 2009 and 2008, respectively.</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Revenues from transformation services decreased by $1.5 million during the three months ended September 30, 2009 compared to the three months ended September 30, 2008 as a result of a $0.3 million reduction due to the appreciation of the U.S. dollar against the U.K. pound sterling and lower revenues due to reduced client spending on discretionary projects. Revenues from new clients for transformation services were $0.1 million and $0.5 million during the three months ended September 30, 2009 and 2008, respectively.</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2.7% from $28.0 million for the three months ended September 30, 2008 to $28.8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2009. Salaries and personnel expenses decreased from $20.0 million for the three months ended September 30, 2008 to $19.7 million for the three months ended September 30, 2009, primarily due to the depreciation of the Indian rupee against the U.S. dollar, resulting in a decrease in compensation expenses of $1.2 million and a decrease in transportation costs of $0.5 million, partially offset by an increase in salaries and personnel expenses of $1.4 million, primarily as a result of our new operations center in Olomouc, the Czech Republic. Other operating costs increased from $8.0 million for the three months ended September 30, 2008 to $9.1 million for the three months ended September 30, 2009, primarily due to an increase in reimbursable expenses of $0.9 million. As a percentage of revenues, cost of revenues decreased from 60.2% for the three months ended September 30, 2008 to 59.8% for the three months ended September 30, 2009.</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profit increased 4.6% from $18.5 million for the three months ended September 30, 2008 to $19.4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2009. The increase in gross profit was primarily due to an increase in revenues of $1.6 million, offset by an increase in cost of revenues of $0.8 million. Gross profit as a percentage of revenues remained unchanged during the three months ended September 30, 2008 and 2009.</w:t>
      </w:r>
    </w:p>
    <w:p>
      <w:pPr>
        <w:spacing w:after="0" w:line="10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b w:val="1"/>
          <w:bCs w:val="1"/>
          <w:i w:val="1"/>
          <w:iCs w:val="1"/>
          <w:color w:val="auto"/>
        </w:rPr>
        <w:t xml:space="preserve">SG&amp;A Expenses. </w:t>
      </w:r>
      <w:r>
        <w:rPr>
          <w:rFonts w:ascii="Arial" w:cs="Arial" w:eastAsia="Arial" w:hAnsi="Arial"/>
          <w:sz w:val="15"/>
          <w:szCs w:val="15"/>
          <w:color w:val="auto"/>
        </w:rPr>
        <w:t>SG&amp;A expenses increased 8.2% from $10.4 million for the three months ended September 30, 2008 to $11.3 million for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September 30, 2009. The increase in SG&amp;A expenses is primarily due to an increase in salaries and personnel expenses of $0.8 million, pre-acquisition related costs of $0.3 million, partially offset by the depreciation of the Indian rupee against the U.S. dollar, resulting in a decrease in costs of $0.2 million. As a percentage of revenues, SG&amp;A increased from 22.4% for the three months ended September 30, 2008 to 23.4% for the three months ended September 30, 2009.</w:t>
      </w:r>
    </w:p>
    <w:p>
      <w:pPr>
        <w:spacing w:after="0" w:line="9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3.0% from $2.8 million for the three months ended September 30, 2008 to $2.9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September 30, 2009, primarily due to depreciation related to our new operations center in Olomouc, the Czech Republic, of $0.1 million. As we add more operations centers, we expect that depreciation expense will increase to reflect the additional investment in equipment and operations centers necessary to meet our service requirements.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decreased 1.6% from $5.3 million for the three months ended September 30, 2008 to $5.2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2009. As a percentage of revenues, income from operations decreased from 11.3% for the three months ended September 30, 2008 to 10.7% for the three months ended September 30, 2009. The decrease in income from operations was primarily due to an increase in operating expenses of $0.9 million, offset by an increase in gross profit of $0.8 million.</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Other Income/(expense). </w:t>
      </w:r>
      <w:r>
        <w:rPr>
          <w:rFonts w:ascii="Arial" w:cs="Arial" w:eastAsia="Arial" w:hAnsi="Arial"/>
          <w:sz w:val="16"/>
          <w:szCs w:val="16"/>
          <w:color w:val="auto"/>
        </w:rPr>
        <w:t>Other income/(expense) is comprised of foreign exchange gains and losses, interest income, interest expense and other.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decreased from $5.5 million for the three months ended September 30, 2008 to $1.7 million for the three months ended September 30, 2009 as a result of a decrease in net foreign exchange losses by $4.6 million attributable to movement of the Indian rupee against the U.S. dollar and the U.K. pound sterling relative to our foreign exchange hedged position, partially offset by lower interest income of $0.9 million.</w:t>
      </w:r>
    </w:p>
    <w:p>
      <w:pPr>
        <w:spacing w:after="0" w:line="11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decreased from a benefit of $0.6 million for the three months ended September 30, 2008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 of $0.5 million for the three months ended September 30, 2009. The effective rate of taxes has decreased significantly from a benefit of 274.1% for the three months ended September 30, 2008 to a benefit of 15.7% for the three months ended September 30, 2009. See Note 12 on Income Taxes to Notes to Unaudited Consolidated Financial Statements contained herein for further details.</w:t>
      </w:r>
    </w:p>
    <w:p>
      <w:pPr>
        <w:spacing w:after="0" w:line="113" w:lineRule="exact"/>
        <w:rPr>
          <w:sz w:val="20"/>
          <w:szCs w:val="20"/>
          <w:color w:val="auto"/>
        </w:rPr>
      </w:pPr>
    </w:p>
    <w:p>
      <w:pPr>
        <w:jc w:val="both"/>
        <w:ind w:right="280" w:firstLine="456"/>
        <w:spacing w:after="0" w:line="335" w:lineRule="auto"/>
        <w:rPr>
          <w:sz w:val="20"/>
          <w:szCs w:val="20"/>
          <w:color w:val="auto"/>
        </w:rPr>
      </w:pPr>
      <w:r>
        <w:rPr>
          <w:rFonts w:ascii="Arial" w:cs="Arial" w:eastAsia="Arial" w:hAnsi="Arial"/>
          <w:sz w:val="15"/>
          <w:szCs w:val="15"/>
          <w:b w:val="1"/>
          <w:bCs w:val="1"/>
          <w:i w:val="1"/>
          <w:iCs w:val="1"/>
          <w:color w:val="auto"/>
        </w:rPr>
        <w:t>Income/(loss) from Continuing Operations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Income from continuing operations increased from $0.4 million for the three months ended September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2008 to $4.0 million for the three months ended September 30, 2009, primarily due to a decrease in other expenses. As a percentage of revenues, income from continuing operations increased from 0.8% for the three months ended September 30, 2008 to 8.3% for the three months ended September 30, 2009.</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Nine Months Ended September 30, 2009 Compared to Nine Months Ended September 30, 2008</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color w:val="auto"/>
        </w:rPr>
        <w:t>. Revenues decreased 4.7% from $138.0 million for the nine months ended September 30, 2008 to $131.6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2009. Revenues from outsourcing services increased during the nine months ended September 30, 2009 compared to the nine months ended September 30, 2008 as a result of revenues from new clients, volume increases within existing processes and the addition of 67 new processes aggregating to $9.2 million, fully offset by a $9.2 million reduction due to the appreciation of the U.S. dollar against the U.K. pound sterling. Revenues from new clients for outsourcing services were $2.1 million and $0.3 million for the nine months ended September 30, 2009 and 2008, respectively.</w:t>
      </w:r>
    </w:p>
    <w:p>
      <w:pPr>
        <w:spacing w:after="0" w:line="1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Revenues from transformation services decreased by $6.4 million during the nine months ended September 30, 2009 compared to the nine months ended September 30, 2008 as a result of a $1.4 million reduction due to the appreciation of the U.S. dollar against the U.K. pound sterling and lower revenues due to reduced client spending on discretionary projects. Revenues from new clients for transformation services were $1.0 million and $2.4 million during the nine months ended September 30, 2009 and 2008, respectively.</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decreased 9.1% from $86.9 million for the nine months ended September 30, 2008 to $79.0 million for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2009. Salaries and personnel expenses decreased from $61.4 million for the nine months ended September 30, 2008 to $55.0 million for the nine months ended September 30, 2009, primarily due to the depreciation of the Indian rupee against the U.S. dollar, resulting in a decrease in compensation expenses of $7.1 million, partially offset by an increase in cost of $1.1 million related to our new operations center in Olomouc, the Czech Republic. Other operating costs decreased from $25.5 million for the nine months ended September 30, 2008 to $24.0 million for the nine months ended September 30, 2009, primarily due to depreciation of the Indian rupee against the U.S. dollar. As a percentage of revenues, cost of revenues decreased from 63.0% for the nine months ended September 30, 2008 to 60.0% for the nine months ended September 30, 2009.</w:t>
      </w:r>
    </w:p>
    <w:p>
      <w:pPr>
        <w:spacing w:after="0" w:line="118"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b w:val="1"/>
          <w:bCs w:val="1"/>
          <w:i w:val="1"/>
          <w:iCs w:val="1"/>
          <w:color w:val="auto"/>
        </w:rPr>
        <w:t>Gross Profit</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Gross profit increased 2.8% from $51.1 million for the nine months ended September 30, 2008 to $52.6 million for the nine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2009. The increase in gross profit was primarily due to a decrease in cost of revenues of $7.9 million, offset by a decrease in revenues of $6.5 million. Gross profit as a percentage of revenues increased from 37.0% for the nine months ended September 30, 2008 to 40.0% for the nine months ended September 30, 2009, primarily due to an improvement of 270 basis points as a result of a reduction in our salaries and personnel expenses as described above.</w:t>
      </w:r>
    </w:p>
    <w:p>
      <w:pPr>
        <w:spacing w:after="0" w:line="9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SG&amp;A Expenses. </w:t>
      </w:r>
      <w:r>
        <w:rPr>
          <w:rFonts w:ascii="Arial" w:cs="Arial" w:eastAsia="Arial" w:hAnsi="Arial"/>
          <w:sz w:val="18"/>
          <w:szCs w:val="18"/>
          <w:color w:val="auto"/>
        </w:rPr>
        <w:t>SG&amp;A expenses decreased 1.2% from $32.6 million for the nine months ended September 30, 2008 to $32.2 million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2009. The decrease in SG&amp;A expenses is primarily due to the depreciation of the Indian rupee against the U.S. dollar, resulting in a decrease in costs of $1.6 million and a decrease in other operating expenses and professional fees expenses of $1.0 million, offset by an increase in salaries and personnel expenses of $2.1 million. As a percentage of revenues, SG&amp;A expenses increased from 23.6% for the nine months ended September 30, 2008 to 24.5% for the nine months ended September 30, 2009.</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decreased 2.0% from $8.3 million for the nine months ended September 30, 2008 to $8.1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nine months ended September 30, 2009, primarily due to the depreciation of the Indian rupee against the U.S. dollar resulting in a decrease in costs of $1.1 million, partially offset by an increase in costs due to accelerated depreciation in one of our operations center of $0.3 million and expansion of our infrastructure including our new facilities in Pasay City, Philippines, Olomouc, the Czech Republic and Pune, India of $0.6 million. As we add more operations centers, we expect that depreciation expense will increase to reflect the additional investment in equipment and operations centers necessary to meet our service requirements.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increased 19.5% from $10.3 million for the nine months ended September 30, 2008 to $12.3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September 30, 2009. As a percentage of revenues, income from operations increased from 7.4% for the nine months ended September 30, 2008 to 9.3% for the nine months ended September 30, 2009. The increase in income from operations was primarily the result of an increase in gross profit of $1.5 million and a decrease in operating expenses of $0.5 million, primarily due to the depreciation of the Indian rupee against the U.S. dollar.</w:t>
      </w:r>
    </w:p>
    <w:p>
      <w:pPr>
        <w:spacing w:after="0" w:line="11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Other Income/(expenses). </w:t>
      </w:r>
      <w:r>
        <w:rPr>
          <w:rFonts w:ascii="Arial" w:cs="Arial" w:eastAsia="Arial" w:hAnsi="Arial"/>
          <w:sz w:val="16"/>
          <w:szCs w:val="16"/>
          <w:color w:val="auto"/>
        </w:rPr>
        <w:t>Other income/(expenses) is comprised of foreign exchange gains and losses, interest income, interest expense and other.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expenses increased from $3.5 million for the nine months ended September 30, 2008 to $4.3 million for the nine months ended September 30, 2009 as a result of a lower interest income by $1.5 million, partially offset by a decrease in net foreign exchange losses by $0.8 million attributable to movement of the Indian rupee against the U.S. dollar and the U.K. pound sterling relative to our hedged position.</w:t>
      </w:r>
    </w:p>
    <w:p>
      <w:pPr>
        <w:spacing w:after="0" w:line="113"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decreased from a benefit of $1.0 million for the nine months ended September 30, 2008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of $0.2 million for the nine months ended September 30, 2009. The effective rate of taxes has decreased from a benefit of 14.7% for the nine months ended September 30, 2008 to a benefit of 2.7% for the nine months ended September 30, 2009. See Note 12 on Income Taxes to the Notes to Unaudited Consolidated Financial Statements contained herein for further details.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Income/(loss) from Continuing Operations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from continuing operations increased from $7.7 million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2008 to $8.3 million for the nine months ended September 30, 2009, primarily due to higher income from operations, partially offset by increase in other income/(expenses). As a percentage of revenues, income from continuing operations increased from 5.6% for the nine months ended September 30, 2008 to 6.3% for the nine months ended September 30,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2009, we had $118.3 million in cash, cash equivalents and short-term investments.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flows provided by operating activities increased from $14.4 million in the nine months ended September 30, 2008 to $16.3 million in the nine months ended September 30, 2009. Generally, factors that affect our earnings—for example, pricing, volume of services, costs and productivity—affect our cash flows provided by or used for operations in a similar manner. However, while management of working capital, including timing of collections and payments, affects operating results only indirectly, the impact on working capital and cash flows provided by operating activities can be significant. The increase in cash flows provided by operations for the nine months ended September 30, 2009 is predominantly due to changes in working capital by $13.5 million, partially offset by the decrease in net income adjusted for non-cash items by $11.6 million. Changes in working capital for the nine months ended September 30, 2009 as compared to an increase of $4.1 million for the nine months ended September 30, 2008 are primarily due to a reduction in accounts receivable of $3.0 million as a result of a reduction in our day sales outstanding. This increase is offset by the decrease in accrued employee costs and other accrued expenses by $5.1 million during the nine months ended September 30, 2009 as compared to the nine months ended September 30, 2008.</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Cash flows used for investing activities decreased from $13.9 million in the nine months ended September 30, 2008 to $11.9 million in the nine months ended September 30, 2009. The decrease is primarily the result of lower capital expenditures of $3.6 million, offset by the impact of business acquisitions during the nine months ended September 30, 2009 (reflecting our purchase of Schneider SRO for approximately $3.5 million (net of cash acquired of $0.9 million)) as compared to the nine months ended September 30, 2008 (during which period we completed acquisitions for $1.9 million).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flows provided by financing activities were insignificant during the nine months ended September 30, 2009 and 2008.</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out our facilities and purchase of telecommunications equipment and computer hardware and software in connection with managing client operations. We incurred approximately $9.2 million of capital expenditures in the nine months ended September 30, 2009. We expect to incur capital expenditures of approximately $3.0 million to $5.0 million in the remainder of calendar year 2009 primarily to meet the growth requirements of our clients, including additions to our existing facilities and setting up a new operations center in Cluj, Romania as well as to improve our internal technology. The timing and volume of such capital expenditures in the future will be affected by new contracts we may enter into or the expansion of our existing contracts. In addition, we may repurchase shares of our common stock from time to time until November 2009. Through September 30, 2009, we had repurchased an aggregate of approximately $0.4 million under our previously announced program to repurchase up to $10.0 million of our common stock.</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in connection with the tax assessment orders issued against Exl India and Exl Inc. we may be required to deposit additional amounts with respect to the assessment orders received by us and for similar orders for subsequent years that may be received by us. As required by the MAP, we obtained bank guarantees of approximately $2.8 million in April 2009, and might need to obtain additional bank guarantees to stop the collection of the outstanding tax demands by the Indian tax authorities and interest for the assessment orders received by Exl Inc. for the 2003-04, 2004-05 and 2005-06 tax years. If additional assessment orders are received for other years, we may invoke the MAP for such orders and would be required to obtain additional bank guarantees.</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anticipate that we will continue to rely upon cash from operating activities to finance our acquisitions, capital expenditures and working capital needs. Based on economic conditions as of September 30, 2009, we believe that cash flow from operations will be sufficient to meet our ongoing capital expenditure, working capital and other cash needs in the near term. If we have significant growth through acquisitions, we may need to obtain additional financing.</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July 3, 2009, we acquired a 100% stake in Schneider SRO, which is located in Olomouc, the Czech Republic, for cash consideration of approximately $3.5 million (net of cash acquired of $0.9 million), which was funded through our internal cash accruals. We are also in the process of setting up a new operations center in Cluj, Romania, through our internal cash accruals.</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459"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2009 and December 31, 2008, we had no off-balance sheet arrangements or obligations.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September 30,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w w:val="91"/>
              </w:rPr>
              <w:t>Payments Due by Period (in millions)</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6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79"/>
              </w:rPr>
              <w:t>Less than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After</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1-3 years</w:t>
            </w:r>
          </w:p>
        </w:tc>
        <w:tc>
          <w:tcPr>
            <w:tcW w:w="40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2"/>
              </w:rPr>
              <w:t>4-5 years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0"/>
              </w:rPr>
              <w:t>5 Years</w:t>
            </w:r>
          </w:p>
        </w:tc>
        <w:tc>
          <w:tcPr>
            <w:tcW w:w="42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Other obligations(a)</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Represents estimated payments under the Company’s Gratuity Plan.</w:t>
      </w:r>
    </w:p>
    <w:p>
      <w:pPr>
        <w:spacing w:after="0" w:line="171" w:lineRule="exact"/>
        <w:rPr>
          <w:sz w:val="20"/>
          <w:szCs w:val="20"/>
          <w:color w:val="auto"/>
        </w:rPr>
      </w:pPr>
    </w:p>
    <w:p>
      <w:pPr>
        <w:jc w:val="both"/>
        <w:ind w:right="80" w:firstLine="456"/>
        <w:spacing w:after="0" w:line="254" w:lineRule="auto"/>
        <w:rPr>
          <w:sz w:val="20"/>
          <w:szCs w:val="20"/>
          <w:color w:val="auto"/>
        </w:rPr>
      </w:pPr>
      <w:r>
        <w:rPr>
          <w:rFonts w:ascii="Arial" w:cs="Arial" w:eastAsia="Arial" w:hAnsi="Arial"/>
          <w:sz w:val="18"/>
          <w:szCs w:val="18"/>
          <w:color w:val="auto"/>
        </w:rPr>
        <w:t>Certain units of our Indian subsidiaries have been established as 100% Export-Oriented units under the “Export Import Policy” (the “Policy”) or Software Technology Parks of India units (“STPI”) under the STPI guidelines issued by the Government of India that has provided us with certain incentives on imported and indigenous capital goods. Under the Policy, these units must achieve certain export ratios and realize revenues attributable to exports over a specified period. In the event that these units are unable to meet the requirements over the specified period, we may be required to refund these incentives along with penalties and fines. However, we believe that these units will achieve the export levels within the required timeframe as they have consistently generated the required levels of export revenues.</w:t>
      </w:r>
    </w:p>
    <w:p>
      <w:pPr>
        <w:spacing w:after="0" w:line="14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Exl Philippines is registered as an Ecozone IT Enterprise with the Philippines Economic Zone Authority. Exl Philippines has an export obligation of $13.1 million during the three year period ending March 2011. The registration has also provided us with certain incentives on the import of capital goods. We believe that Exl Philippines will achieve these export levels within the required timeframe.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June 2009, the Financial Accounting Standards Board (“FASB”) issued FAS 168, “The FASB Accounting Standards Codification and the Hierarchy of Generally Accepted Accounting Principles,” which was principally codified into Accounting Standards Codification (“ASC”) 105 “Generally Accepted Accounting Standards.” This standard will become the single source of authoritative nongovernmental U.S. generally accepted accounting principles. All existing accounting standard documents will be superseded and all other accounting literature not included in the FASB Codification will be considered non-authoritative. This guidance is effective for interim and annual periods ending after September 15, 2009. As ASC 105 was not intended to change existing accounting guidance, its adoption did not have an impact on our consolidated financial statements.</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December 2007, the FASB issued new accounting guidance for business combinations. The new accounting guidance changes the accounting for 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 treatment of acquisition-related transaction costs and the recognition of changes in the acquirer’s income tax valuation allowance. We acquired a 100% stake in Schneider Logistics SRO on July 3, 2009. The acquisition was accounted for in accordance with this new accounting guidance. See Note 5 on Business Combinations, Goodwill and Intangible Assets to the Notes to Unaudited Consolidated Financial Statements contained herein for further details.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of Form 10-Q.</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Quarterly Report on Form 10-Q, or elsewhere, speaks only as of the date on which we make it. New risks and uncertainties come up from time to time, and it is impossible for us to predict these events or how they may affect us. We have no obligation to update any forward looking statements in this Quarterly Report on Form 10-Q after the date of this Quarterly Report on Form 10-Q, except as required by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three months ended September 30, 2009,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2008.</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Quarterly Report on Form 10-Q, the Company’s management carried out an evaluation, under the supervision and with the participation of the CEO and CFO, of the effectiveness and operation of our disclosure controls and procedures as of September 30, 2009. Based upon that evaluation, the CEO and CFO have concluded that, as of September 30, 2009, our disclosure controls and procedures were effective.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During the three months ended September 30, 2009,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See Note 16 on Commitments and Contingencies in the Notes to Unaudited Consolidated Financial Statements contained herein for the information regarding our ongoing legal proceedings.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disclosed under the heading “Risk Factors” in our Annual Report on Form 10-K for the year ended December 31, 2008 the risk factors which materially affect our business, financial condition or results of operations. You should carefully consider the “Risk Factors” set forth in our Annual Report on Form 10-K for the year ended December 31, 2008 and the other information set forth elsewhere in this Quarterly Report on Form 10-Q. You should be aware that these risk factors and other information may not describe every risk facing our Company. Additional risks and uncertainties not currently known to us also may materially adversely affect our business, financial condition and/or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320" w:lineRule="exact"/>
        <w:rPr>
          <w:sz w:val="20"/>
          <w:szCs w:val="20"/>
          <w:color w:val="auto"/>
        </w:rPr>
      </w:pPr>
    </w:p>
    <w:p>
      <w:pPr>
        <w:ind w:left="700" w:right="200" w:hanging="666"/>
        <w:spacing w:after="0" w:line="268" w:lineRule="auto"/>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Executive Chairman of ExlService Holdings, pursuant to Rule 13a-14 of the Exchange Act, as adopted pursuant to Section 302 of the Sarbanes-Oxley Act of 2002.</w:t>
      </w:r>
    </w:p>
    <w:p>
      <w:pPr>
        <w:spacing w:after="0" w:line="78" w:lineRule="exact"/>
        <w:rPr>
          <w:sz w:val="20"/>
          <w:szCs w:val="20"/>
          <w:color w:val="auto"/>
        </w:rPr>
      </w:pPr>
    </w:p>
    <w:p>
      <w:pPr>
        <w:ind w:left="700" w:right="20" w:hanging="666"/>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President and Chief Executive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hanging="666"/>
        <w:spacing w:after="0" w:line="268" w:lineRule="auto"/>
        <w:tabs>
          <w:tab w:leader="none" w:pos="6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Certification of the Chief Financial Officer of ExlService Holdings, pursuant to Rule 13a-14 of the Exchange Act, as adopted pursuant to Section 302 of the Sarbanes-Oxley Act of 2002.</w:t>
      </w:r>
    </w:p>
    <w:p>
      <w:pPr>
        <w:spacing w:after="0" w:line="7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of the Executive Chairman pursuant to Rule 13a-14(b) of the Exchange Act and 18 U.S.C. Section 1350, as adopted pursuant to Section</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906 of the Sarbanes-Oxley Act of 2002.</w:t>
      </w:r>
    </w:p>
    <w:p>
      <w:pPr>
        <w:spacing w:after="0" w:line="111" w:lineRule="exact"/>
        <w:rPr>
          <w:sz w:val="20"/>
          <w:szCs w:val="20"/>
          <w:color w:val="auto"/>
        </w:rPr>
      </w:pPr>
    </w:p>
    <w:p>
      <w:pPr>
        <w:ind w:left="700" w:right="380" w:hanging="666"/>
        <w:spacing w:after="0" w:line="268" w:lineRule="auto"/>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President and Chief Executive Officer pursuant to Rule 13a-14(b) of the Exchange Act and 18 U.S.C. Section 1350, as adopted pursuant to Section 906 of the Sarbanes-Oxley Act of 2002.</w:t>
      </w:r>
    </w:p>
    <w:p>
      <w:pPr>
        <w:spacing w:after="0" w:line="7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5"/>
          <w:szCs w:val="15"/>
          <w:color w:val="auto"/>
        </w:rPr>
        <w:t>Certification of the Chief Financial Officer pursuant to Rule 13a-14(b) of the Exchange Act and 18 U.S.C. Section 1350, as adopted pursuant to Section</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906 of the Sarbanes-Oxley Act of 2002.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EXLSERVICE HOLDINGS, INC.</w:t>
      </w:r>
    </w:p>
    <w:p>
      <w:pPr>
        <w:spacing w:after="0" w:line="339" w:lineRule="exact"/>
        <w:rPr>
          <w:sz w:val="20"/>
          <w:szCs w:val="20"/>
          <w:color w:val="auto"/>
        </w:rPr>
      </w:pPr>
    </w:p>
    <w:p>
      <w:pPr>
        <w:spacing w:after="0"/>
        <w:tabs>
          <w:tab w:leader="none" w:pos="6260" w:val="left"/>
          <w:tab w:leader="none" w:pos="8000" w:val="left"/>
          <w:tab w:leader="none" w:pos="8340" w:val="left"/>
        </w:tabs>
        <w:rPr>
          <w:sz w:val="20"/>
          <w:szCs w:val="20"/>
          <w:color w:val="auto"/>
        </w:rPr>
      </w:pPr>
      <w:r>
        <w:rPr>
          <w:rFonts w:ascii="Arial" w:cs="Arial" w:eastAsia="Arial" w:hAnsi="Arial"/>
          <w:sz w:val="18"/>
          <w:szCs w:val="18"/>
          <w:color w:val="auto"/>
        </w:rPr>
        <w:t>Date: November 9,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3"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Vishal Chhibbar</w:t>
      </w:r>
    </w:p>
    <w:p>
      <w:pPr>
        <w:jc w:val="center"/>
        <w:ind w:left="664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640"/>
        <w:spacing w:after="0"/>
        <w:rPr>
          <w:sz w:val="20"/>
          <w:szCs w:val="20"/>
          <w:color w:val="auto"/>
        </w:rPr>
      </w:pPr>
      <w:r>
        <w:rPr>
          <w:rFonts w:ascii="Arial" w:cs="Arial" w:eastAsia="Arial" w:hAnsi="Arial"/>
          <w:sz w:val="12"/>
          <w:szCs w:val="12"/>
          <w:b w:val="1"/>
          <w:bCs w:val="1"/>
          <w:color w:val="auto"/>
        </w:rPr>
        <w:t>(Duly Authorized Signatory, Principal Financial and Accounting Officer)</w:t>
      </w:r>
    </w:p>
    <w:p>
      <w:pPr>
        <w:spacing w:after="0" w:line="16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240" w:top="459" w:right="5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2009</w:t>
      </w:r>
    </w:p>
    <w:p>
      <w:pPr>
        <w:spacing w:after="0" w:line="200" w:lineRule="exact"/>
        <w:rPr>
          <w:sz w:val="20"/>
          <w:szCs w:val="20"/>
          <w:color w:val="auto"/>
        </w:rPr>
      </w:pPr>
    </w:p>
    <w:p>
      <w:pPr>
        <w:spacing w:after="0" w:line="228"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Executive Chairman</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2009</w:t>
      </w:r>
    </w:p>
    <w:p>
      <w:pPr>
        <w:spacing w:after="0" w:line="200" w:lineRule="exact"/>
        <w:rPr>
          <w:sz w:val="20"/>
          <w:szCs w:val="20"/>
          <w:color w:val="auto"/>
        </w:rPr>
      </w:pPr>
    </w:p>
    <w:p>
      <w:pPr>
        <w:spacing w:after="0" w:line="228"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Rohit Kapoor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2009</w:t>
      </w:r>
    </w:p>
    <w:p>
      <w:pPr>
        <w:spacing w:after="0" w:line="200" w:lineRule="exact"/>
        <w:rPr>
          <w:sz w:val="20"/>
          <w:szCs w:val="20"/>
          <w:color w:val="auto"/>
        </w:rPr>
      </w:pPr>
    </w:p>
    <w:p>
      <w:pPr>
        <w:spacing w:after="0" w:line="228"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Vishal Chhibbar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September 30, 2009 as filed with the Securities and Exchange Commission on the date hereof (the “Report”), I, Vikram Talwar, Executive Chairman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Executive Chairman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2009</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September 30, 2009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Rohit Kapoor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2009</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September 30, 2009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Vishal Chhibbar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6"/>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2019-12-11T00:21:41Z</dcterms:created>
  <dcterms:modified xsi:type="dcterms:W3CDTF">2019-12-11T00:21:41Z</dcterms:modified>
</cp:coreProperties>
</file>