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6"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7932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932420"/>
                    </a:xfrm>
                    <a:prstGeom prst="rect">
                      <a:avLst/>
                    </a:prstGeom>
                    <a:noFill/>
                  </pic:spPr>
                </pic:pic>
              </a:graphicData>
            </a:graphic>
          </wp:anchor>
        </w:drawing>
      </w:r>
    </w:p>
    <w:p>
      <w:pPr>
        <w:spacing w:after="0" w:line="100" w:lineRule="exact"/>
        <w:rPr>
          <w:sz w:val="24"/>
          <w:szCs w:val="24"/>
          <w:color w:val="auto"/>
        </w:rPr>
      </w:pPr>
    </w:p>
    <w:p>
      <w:pPr>
        <w:sectPr>
          <w:pgSz w:w="11900" w:h="16895"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02/13/2014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2" w:lineRule="exact"/>
        <w:rPr>
          <w:sz w:val="24"/>
          <w:szCs w:val="24"/>
          <w:color w:val="auto"/>
        </w:rPr>
      </w:pPr>
    </w:p>
    <w:tbl>
      <w:tblPr>
        <w:tblLayout w:type="fixed"/>
        <w:tblInd w:w="207"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47"/>
        <w:spacing w:after="0"/>
        <w:rPr>
          <w:sz w:val="20"/>
          <w:szCs w:val="20"/>
          <w:color w:val="auto"/>
        </w:rPr>
      </w:pPr>
      <w:r>
        <w:rPr>
          <w:rFonts w:ascii="Arial" w:cs="Arial" w:eastAsia="Arial" w:hAnsi="Arial"/>
          <w:sz w:val="17"/>
          <w:szCs w:val="17"/>
          <w:color w:val="0000FF"/>
        </w:rPr>
        <w:t>CEO &amp; Vice Chairman</w:t>
      </w:r>
    </w:p>
    <w:p>
      <w:pPr>
        <w:spacing w:after="0" w:line="266" w:lineRule="exact"/>
        <w:rPr>
          <w:sz w:val="24"/>
          <w:szCs w:val="24"/>
          <w:color w:val="auto"/>
        </w:rPr>
      </w:pPr>
    </w:p>
    <w:p>
      <w:pPr>
        <w:sectPr>
          <w:pgSz w:w="11900" w:h="16895" w:orient="portrait"/>
          <w:cols w:equalWidth="0" w:num="3">
            <w:col w:w="3340" w:space="720"/>
            <w:col w:w="3253" w:space="720"/>
            <w:col w:w="3487"/>
          </w:cols>
          <w:pgMar w:left="240" w:top="224" w:right="139" w:bottom="0" w:gutter="0" w:footer="0" w:header="0"/>
          <w:type w:val="continuous"/>
        </w:sectPr>
      </w:pP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9A9A9A"/>
          </w:tcPr>
          <w:p>
            <w:pPr>
              <w:spacing w:after="0"/>
              <w:rPr>
                <w:sz w:val="2"/>
                <w:szCs w:val="2"/>
                <w:color w:val="auto"/>
              </w:rPr>
            </w:pPr>
          </w:p>
        </w:tc>
        <w:tc>
          <w:tcPr>
            <w:tcW w:w="54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900" w:type="dxa"/>
            <w:vAlign w:val="bottom"/>
            <w:shd w:val="clear" w:color="auto" w:fill="9A9A9A"/>
          </w:tcPr>
          <w:p>
            <w:pPr>
              <w:spacing w:after="0"/>
              <w:rPr>
                <w:sz w:val="2"/>
                <w:szCs w:val="2"/>
                <w:color w:val="auto"/>
              </w:rPr>
            </w:pPr>
          </w:p>
        </w:tc>
        <w:tc>
          <w:tcPr>
            <w:tcW w:w="1320" w:type="dxa"/>
            <w:vAlign w:val="bottom"/>
            <w:tcBorders>
              <w:right w:val="single" w:sz="8" w:color="9A9A9A"/>
            </w:tcBorders>
            <w:shd w:val="clear" w:color="auto" w:fill="9A9A9A"/>
          </w:tcPr>
          <w:p>
            <w:pPr>
              <w:spacing w:after="0"/>
              <w:rPr>
                <w:sz w:val="2"/>
                <w:szCs w:val="2"/>
                <w:color w:val="auto"/>
              </w:rPr>
            </w:pPr>
          </w:p>
        </w:tc>
        <w:tc>
          <w:tcPr>
            <w:tcW w:w="388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tcPr>
          <w:p>
            <w:pPr>
              <w:spacing w:after="0"/>
              <w:rPr>
                <w:sz w:val="20"/>
                <w:szCs w:val="20"/>
                <w:color w:val="auto"/>
              </w:rPr>
            </w:pPr>
            <w:r>
              <w:rPr>
                <w:rFonts w:ascii="Arial" w:cs="Arial" w:eastAsia="Arial" w:hAnsi="Arial"/>
                <w:sz w:val="17"/>
                <w:szCs w:val="17"/>
                <w:color w:val="0000FF"/>
              </w:rPr>
              <w:t>NY</w:t>
            </w:r>
          </w:p>
        </w:tc>
        <w:tc>
          <w:tcPr>
            <w:tcW w:w="900" w:type="dxa"/>
            <w:vAlign w:val="bottom"/>
          </w:tcPr>
          <w:p>
            <w:pPr>
              <w:spacing w:after="0"/>
              <w:rPr>
                <w:sz w:val="21"/>
                <w:szCs w:val="21"/>
                <w:color w:val="auto"/>
              </w:rPr>
            </w:pPr>
          </w:p>
        </w:tc>
        <w:tc>
          <w:tcPr>
            <w:tcW w:w="1320" w:type="dxa"/>
            <w:vAlign w:val="bottom"/>
          </w:tcPr>
          <w:p>
            <w:pPr>
              <w:ind w:left="80"/>
              <w:spacing w:after="0"/>
              <w:rPr>
                <w:sz w:val="20"/>
                <w:szCs w:val="20"/>
                <w:color w:val="auto"/>
              </w:rPr>
            </w:pPr>
            <w:r>
              <w:rPr>
                <w:rFonts w:ascii="Arial" w:cs="Arial" w:eastAsia="Arial" w:hAnsi="Arial"/>
                <w:sz w:val="17"/>
                <w:szCs w:val="17"/>
                <w:color w:val="0000FF"/>
              </w:rPr>
              <w:t>10017</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0" w:type="dxa"/>
            <w:vAlign w:val="bottom"/>
            <w:gridSpan w:val="7"/>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900" w:type="dxa"/>
            <w:vAlign w:val="bottom"/>
            <w:tcBorders>
              <w:top w:val="single" w:sz="8" w:color="EEEEEE"/>
            </w:tcBorders>
          </w:tcPr>
          <w:p>
            <w:pPr>
              <w:spacing w:after="0"/>
              <w:rPr>
                <w:sz w:val="3"/>
                <w:szCs w:val="3"/>
                <w:color w:val="auto"/>
              </w:rPr>
            </w:pPr>
          </w:p>
        </w:tc>
        <w:tc>
          <w:tcPr>
            <w:tcW w:w="1320" w:type="dxa"/>
            <w:vAlign w:val="bottom"/>
            <w:tcBorders>
              <w:top w:val="single" w:sz="8" w:color="EEEEEE"/>
            </w:tcBorders>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12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ind w:left="20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70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380" w:type="dxa"/>
            <w:vAlign w:val="bottom"/>
            <w:tcBorders>
              <w:top w:val="single" w:sz="8" w:color="2C2C2C"/>
            </w:tcBorders>
            <w:gridSpan w:val="13"/>
          </w:tcPr>
          <w:p>
            <w:pPr>
              <w:ind w:left="7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5"/>
                <w:szCs w:val="15"/>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40" w:type="dxa"/>
            <w:vAlign w:val="bottom"/>
            <w:gridSpan w:val="2"/>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620" w:type="dxa"/>
            <w:vAlign w:val="bottom"/>
            <w:gridSpan w:val="2"/>
            <w:vMerge w:val="continue"/>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880" w:type="dxa"/>
            <w:vAlign w:val="bottom"/>
            <w:tcBorders>
              <w:bottom w:val="single" w:sz="8" w:color="2C2C2C"/>
            </w:tcBorders>
            <w:gridSpan w:val="6"/>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8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6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4"/>
              </w:rPr>
              <w:t>615,993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line="318"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4"/>
              </w:rPr>
              <w:t>333,185</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8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80" w:type="dxa"/>
            <w:vAlign w:val="bottom"/>
            <w:gridSpan w:val="2"/>
            <w:vMerge w:val="restart"/>
          </w:tcPr>
          <w:p>
            <w:pPr>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3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4"/>
              </w:rPr>
              <w:t>177,134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8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80" w:type="dxa"/>
            <w:vAlign w:val="bottom"/>
            <w:gridSpan w:val="2"/>
            <w:vMerge w:val="restart"/>
          </w:tcPr>
          <w:p>
            <w:pPr>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3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84,000</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8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80" w:type="dxa"/>
            <w:vAlign w:val="bottom"/>
            <w:gridSpan w:val="2"/>
            <w:vMerge w:val="restart"/>
          </w:tcPr>
          <w:p>
            <w:pPr>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3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84,000</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8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80" w:type="dxa"/>
            <w:vAlign w:val="bottom"/>
            <w:gridSpan w:val="2"/>
            <w:vMerge w:val="restart"/>
          </w:tcPr>
          <w:p>
            <w:pPr>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3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4"/>
              </w:rPr>
              <w:t>250,000</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8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07"/>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13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80" w:type="dxa"/>
            <w:vAlign w:val="bottom"/>
            <w:gridSpan w:val="12"/>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20" w:type="dxa"/>
            <w:vAlign w:val="bottom"/>
            <w:gridSpan w:val="11"/>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tcPr>
          <w:p>
            <w:pPr>
              <w:ind w:left="24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jc w:val="center"/>
              <w:ind w:right="32"/>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jc w:val="center"/>
              <w:ind w:right="32"/>
              <w:spacing w:after="0" w:line="133" w:lineRule="exact"/>
              <w:rPr>
                <w:sz w:val="20"/>
                <w:szCs w:val="20"/>
                <w:color w:val="auto"/>
              </w:rPr>
            </w:pPr>
            <w:r>
              <w:rPr>
                <w:rFonts w:ascii="Arial" w:cs="Arial" w:eastAsia="Arial" w:hAnsi="Arial"/>
                <w:sz w:val="12"/>
                <w:szCs w:val="12"/>
                <w:b w:val="1"/>
                <w:bCs w:val="1"/>
                <w:color w:val="auto"/>
                <w:w w:val="97"/>
              </w:rPr>
              <w:t>Derivative</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Price of</w:t>
            </w: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Direct (D)</w:t>
            </w:r>
          </w:p>
        </w:tc>
        <w:tc>
          <w:tcPr>
            <w:tcW w:w="16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2"/>
              </w:rPr>
              <w:t>Security</w:t>
            </w: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jc w:val="center"/>
              <w:ind w:right="16"/>
              <w:spacing w:after="0"/>
              <w:rPr>
                <w:sz w:val="20"/>
                <w:szCs w:val="20"/>
                <w:color w:val="auto"/>
              </w:rPr>
            </w:pPr>
            <w:r>
              <w:rPr>
                <w:rFonts w:ascii="Arial" w:cs="Arial" w:eastAsia="Arial" w:hAnsi="Arial"/>
                <w:sz w:val="13"/>
                <w:szCs w:val="13"/>
                <w:color w:val="0000FF"/>
                <w:w w:val="94"/>
              </w:rPr>
              <w:t>Common</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(7)</w:t>
            </w:r>
          </w:p>
        </w:tc>
        <w:tc>
          <w:tcPr>
            <w:tcW w:w="700" w:type="dxa"/>
            <w:vAlign w:val="bottom"/>
          </w:tcPr>
          <w:p>
            <w:pPr>
              <w:spacing w:after="0"/>
              <w:rPr>
                <w:sz w:val="12"/>
                <w:szCs w:val="12"/>
                <w:color w:val="auto"/>
              </w:rPr>
            </w:pPr>
          </w:p>
        </w:tc>
        <w:tc>
          <w:tcPr>
            <w:tcW w:w="700" w:type="dxa"/>
            <w:vAlign w:val="bottom"/>
          </w:tcPr>
          <w:p>
            <w:pPr>
              <w:jc w:val="center"/>
              <w:ind w:right="16"/>
              <w:spacing w:after="0" w:line="146" w:lineRule="exact"/>
              <w:rPr>
                <w:sz w:val="20"/>
                <w:szCs w:val="20"/>
                <w:color w:val="auto"/>
              </w:rPr>
            </w:pPr>
            <w:r>
              <w:rPr>
                <w:rFonts w:ascii="Arial" w:cs="Arial" w:eastAsia="Arial" w:hAnsi="Arial"/>
                <w:sz w:val="13"/>
                <w:szCs w:val="13"/>
                <w:color w:val="0000FF"/>
                <w:w w:val="93"/>
              </w:rPr>
              <w:t>Stock,</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3,612</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40" w:type="dxa"/>
            <w:vAlign w:val="bottom"/>
            <w:vMerge w:val="restart"/>
          </w:tcPr>
          <w:p>
            <w:pPr>
              <w:ind w:left="3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300" w:type="dxa"/>
            <w:vAlign w:val="bottom"/>
          </w:tcPr>
          <w:p>
            <w:pPr>
              <w:spacing w:after="0"/>
              <w:rPr>
                <w:sz w:val="5"/>
                <w:szCs w:val="5"/>
                <w:color w:val="auto"/>
              </w:rPr>
            </w:pPr>
          </w:p>
        </w:tc>
        <w:tc>
          <w:tcPr>
            <w:tcW w:w="900" w:type="dxa"/>
            <w:vAlign w:val="bottom"/>
            <w:vMerge w:val="restart"/>
          </w:tcPr>
          <w:p>
            <w:pPr>
              <w:jc w:val="right"/>
              <w:ind w:right="14"/>
              <w:spacing w:after="0" w:line="146" w:lineRule="exact"/>
              <w:rPr>
                <w:sz w:val="20"/>
                <w:szCs w:val="20"/>
                <w:color w:val="auto"/>
              </w:rPr>
            </w:pPr>
            <w:r>
              <w:rPr>
                <w:rFonts w:ascii="Arial" w:cs="Arial" w:eastAsia="Arial" w:hAnsi="Arial"/>
                <w:sz w:val="13"/>
                <w:szCs w:val="13"/>
                <w:color w:val="0000FF"/>
              </w:rPr>
              <w:t>02/13/2014</w:t>
            </w:r>
          </w:p>
        </w:tc>
        <w:tc>
          <w:tcPr>
            <w:tcW w:w="1320" w:type="dxa"/>
            <w:vAlign w:val="bottom"/>
          </w:tcPr>
          <w:p>
            <w:pPr>
              <w:spacing w:after="0"/>
              <w:rPr>
                <w:sz w:val="5"/>
                <w:szCs w:val="5"/>
                <w:color w:val="auto"/>
              </w:rPr>
            </w:pPr>
          </w:p>
        </w:tc>
        <w:tc>
          <w:tcPr>
            <w:tcW w:w="620" w:type="dxa"/>
            <w:vAlign w:val="bottom"/>
            <w:vMerge w:val="restart"/>
          </w:tcPr>
          <w:p>
            <w:pPr>
              <w:ind w:left="140"/>
              <w:spacing w:after="0" w:line="146"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56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3,612</w:t>
            </w: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restart"/>
          </w:tcPr>
          <w:p>
            <w:pPr>
              <w:ind w:left="20"/>
              <w:spacing w:after="0" w:line="146" w:lineRule="exact"/>
              <w:rPr>
                <w:sz w:val="20"/>
                <w:szCs w:val="20"/>
                <w:color w:val="auto"/>
              </w:rPr>
            </w:pPr>
            <w:r>
              <w:rPr>
                <w:rFonts w:ascii="Arial" w:cs="Arial" w:eastAsia="Arial" w:hAnsi="Arial"/>
                <w:sz w:val="13"/>
                <w:szCs w:val="13"/>
                <w:color w:val="0000FF"/>
              </w:rPr>
              <w:t>02/13/2024</w:t>
            </w:r>
          </w:p>
        </w:tc>
        <w:tc>
          <w:tcPr>
            <w:tcW w:w="700" w:type="dxa"/>
            <w:vAlign w:val="bottom"/>
            <w:vMerge w:val="restart"/>
          </w:tcPr>
          <w:p>
            <w:pPr>
              <w:jc w:val="center"/>
              <w:ind w:right="16"/>
              <w:spacing w:after="0" w:line="146" w:lineRule="exact"/>
              <w:rPr>
                <w:sz w:val="20"/>
                <w:szCs w:val="20"/>
                <w:color w:val="auto"/>
              </w:rPr>
            </w:pPr>
            <w:r>
              <w:rPr>
                <w:rFonts w:ascii="Arial" w:cs="Arial" w:eastAsia="Arial" w:hAnsi="Arial"/>
                <w:sz w:val="13"/>
                <w:szCs w:val="13"/>
                <w:color w:val="0000FF"/>
                <w:w w:val="93"/>
              </w:rPr>
              <w:t>par value</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jc w:val="center"/>
              <w:ind w:right="12"/>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jc w:val="center"/>
              <w:spacing w:after="0" w:line="146" w:lineRule="exact"/>
              <w:rPr>
                <w:sz w:val="20"/>
                <w:szCs w:val="20"/>
                <w:color w:val="auto"/>
              </w:rPr>
            </w:pPr>
            <w:r>
              <w:rPr>
                <w:rFonts w:ascii="Arial" w:cs="Arial" w:eastAsia="Arial" w:hAnsi="Arial"/>
                <w:sz w:val="13"/>
                <w:szCs w:val="13"/>
                <w:color w:val="0000FF"/>
                <w:w w:val="92"/>
              </w:rPr>
              <w:t>3,612</w:t>
            </w:r>
          </w:p>
        </w:tc>
        <w:tc>
          <w:tcPr>
            <w:tcW w:w="680" w:type="dxa"/>
            <w:vAlign w:val="bottom"/>
            <w:vMerge w:val="restart"/>
          </w:tcPr>
          <w:p>
            <w:pPr>
              <w:ind w:left="400"/>
              <w:spacing w:after="0" w:line="146" w:lineRule="exact"/>
              <w:rPr>
                <w:sz w:val="20"/>
                <w:szCs w:val="20"/>
                <w:color w:val="auto"/>
              </w:rPr>
            </w:pPr>
            <w:r>
              <w:rPr>
                <w:rFonts w:ascii="Arial" w:cs="Arial" w:eastAsia="Arial" w:hAnsi="Arial"/>
                <w:sz w:val="13"/>
                <w:szCs w:val="13"/>
                <w:color w:val="0000FF"/>
              </w:rPr>
              <w:t>D</w:t>
            </w: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0"/>
              </w:rPr>
              <w:t>$0.001</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87"/>
              </w:rPr>
              <w:t>per share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jc w:val="center"/>
              <w:ind w:right="16"/>
              <w:spacing w:after="0"/>
              <w:rPr>
                <w:sz w:val="20"/>
                <w:szCs w:val="20"/>
                <w:color w:val="auto"/>
              </w:rPr>
            </w:pPr>
            <w:r>
              <w:rPr>
                <w:rFonts w:ascii="Arial" w:cs="Arial" w:eastAsia="Arial" w:hAnsi="Arial"/>
                <w:sz w:val="13"/>
                <w:szCs w:val="13"/>
                <w:color w:val="0000FF"/>
                <w:w w:val="94"/>
              </w:rPr>
              <w:t>Common</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(8)</w:t>
            </w:r>
          </w:p>
        </w:tc>
        <w:tc>
          <w:tcPr>
            <w:tcW w:w="700" w:type="dxa"/>
            <w:vAlign w:val="bottom"/>
          </w:tcPr>
          <w:p>
            <w:pPr>
              <w:spacing w:after="0"/>
              <w:rPr>
                <w:sz w:val="12"/>
                <w:szCs w:val="12"/>
                <w:color w:val="auto"/>
              </w:rPr>
            </w:pPr>
          </w:p>
        </w:tc>
        <w:tc>
          <w:tcPr>
            <w:tcW w:w="700" w:type="dxa"/>
            <w:vAlign w:val="bottom"/>
          </w:tcPr>
          <w:p>
            <w:pPr>
              <w:jc w:val="center"/>
              <w:ind w:right="16"/>
              <w:spacing w:after="0" w:line="146" w:lineRule="exact"/>
              <w:rPr>
                <w:sz w:val="20"/>
                <w:szCs w:val="20"/>
                <w:color w:val="auto"/>
              </w:rPr>
            </w:pPr>
            <w:r>
              <w:rPr>
                <w:rFonts w:ascii="Arial" w:cs="Arial" w:eastAsia="Arial" w:hAnsi="Arial"/>
                <w:sz w:val="13"/>
                <w:szCs w:val="13"/>
                <w:color w:val="0000FF"/>
                <w:w w:val="93"/>
              </w:rPr>
              <w:t>Stock,</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37,500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40" w:type="dxa"/>
            <w:vAlign w:val="bottom"/>
            <w:vMerge w:val="restart"/>
          </w:tcPr>
          <w:p>
            <w:pPr>
              <w:ind w:left="3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300" w:type="dxa"/>
            <w:vAlign w:val="bottom"/>
          </w:tcPr>
          <w:p>
            <w:pPr>
              <w:spacing w:after="0"/>
              <w:rPr>
                <w:sz w:val="5"/>
                <w:szCs w:val="5"/>
                <w:color w:val="auto"/>
              </w:rPr>
            </w:pPr>
          </w:p>
        </w:tc>
        <w:tc>
          <w:tcPr>
            <w:tcW w:w="900" w:type="dxa"/>
            <w:vAlign w:val="bottom"/>
            <w:vMerge w:val="restart"/>
          </w:tcPr>
          <w:p>
            <w:pPr>
              <w:jc w:val="right"/>
              <w:ind w:right="14"/>
              <w:spacing w:after="0" w:line="146" w:lineRule="exact"/>
              <w:rPr>
                <w:sz w:val="20"/>
                <w:szCs w:val="20"/>
                <w:color w:val="auto"/>
              </w:rPr>
            </w:pPr>
            <w:r>
              <w:rPr>
                <w:rFonts w:ascii="Arial" w:cs="Arial" w:eastAsia="Arial" w:hAnsi="Arial"/>
                <w:sz w:val="13"/>
                <w:szCs w:val="13"/>
                <w:color w:val="0000FF"/>
              </w:rPr>
              <w:t>02/13/2014</w:t>
            </w:r>
          </w:p>
        </w:tc>
        <w:tc>
          <w:tcPr>
            <w:tcW w:w="1320" w:type="dxa"/>
            <w:vAlign w:val="bottom"/>
          </w:tcPr>
          <w:p>
            <w:pPr>
              <w:spacing w:after="0"/>
              <w:rPr>
                <w:sz w:val="5"/>
                <w:szCs w:val="5"/>
                <w:color w:val="auto"/>
              </w:rPr>
            </w:pPr>
          </w:p>
        </w:tc>
        <w:tc>
          <w:tcPr>
            <w:tcW w:w="620" w:type="dxa"/>
            <w:vAlign w:val="bottom"/>
            <w:vMerge w:val="restart"/>
          </w:tcPr>
          <w:p>
            <w:pPr>
              <w:ind w:left="140"/>
              <w:spacing w:after="0" w:line="146"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56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0"/>
              </w:rPr>
              <w:t>37,500</w:t>
            </w: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restart"/>
          </w:tcPr>
          <w:p>
            <w:pPr>
              <w:ind w:left="20"/>
              <w:spacing w:after="0" w:line="146" w:lineRule="exact"/>
              <w:rPr>
                <w:sz w:val="20"/>
                <w:szCs w:val="20"/>
                <w:color w:val="auto"/>
              </w:rPr>
            </w:pPr>
            <w:r>
              <w:rPr>
                <w:rFonts w:ascii="Arial" w:cs="Arial" w:eastAsia="Arial" w:hAnsi="Arial"/>
                <w:sz w:val="13"/>
                <w:szCs w:val="13"/>
                <w:color w:val="0000FF"/>
              </w:rPr>
              <w:t>02/13/2024</w:t>
            </w:r>
          </w:p>
        </w:tc>
        <w:tc>
          <w:tcPr>
            <w:tcW w:w="700" w:type="dxa"/>
            <w:vAlign w:val="bottom"/>
            <w:vMerge w:val="restart"/>
          </w:tcPr>
          <w:p>
            <w:pPr>
              <w:jc w:val="center"/>
              <w:ind w:right="16"/>
              <w:spacing w:after="0" w:line="146" w:lineRule="exact"/>
              <w:rPr>
                <w:sz w:val="20"/>
                <w:szCs w:val="20"/>
                <w:color w:val="auto"/>
              </w:rPr>
            </w:pPr>
            <w:r>
              <w:rPr>
                <w:rFonts w:ascii="Arial" w:cs="Arial" w:eastAsia="Arial" w:hAnsi="Arial"/>
                <w:sz w:val="13"/>
                <w:szCs w:val="13"/>
                <w:color w:val="0000FF"/>
                <w:w w:val="93"/>
              </w:rPr>
              <w:t>par value</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jc w:val="center"/>
              <w:ind w:right="12"/>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jc w:val="center"/>
              <w:spacing w:after="0" w:line="146" w:lineRule="exact"/>
              <w:rPr>
                <w:sz w:val="20"/>
                <w:szCs w:val="20"/>
                <w:color w:val="auto"/>
              </w:rPr>
            </w:pPr>
            <w:r>
              <w:rPr>
                <w:rFonts w:ascii="Arial" w:cs="Arial" w:eastAsia="Arial" w:hAnsi="Arial"/>
                <w:sz w:val="13"/>
                <w:szCs w:val="13"/>
                <w:color w:val="0000FF"/>
                <w:w w:val="90"/>
              </w:rPr>
              <w:t>37,500</w:t>
            </w:r>
          </w:p>
        </w:tc>
        <w:tc>
          <w:tcPr>
            <w:tcW w:w="680" w:type="dxa"/>
            <w:vAlign w:val="bottom"/>
            <w:vMerge w:val="restart"/>
          </w:tcPr>
          <w:p>
            <w:pPr>
              <w:ind w:left="400"/>
              <w:spacing w:after="0" w:line="146" w:lineRule="exact"/>
              <w:rPr>
                <w:sz w:val="20"/>
                <w:szCs w:val="20"/>
                <w:color w:val="auto"/>
              </w:rPr>
            </w:pPr>
            <w:r>
              <w:rPr>
                <w:rFonts w:ascii="Arial" w:cs="Arial" w:eastAsia="Arial" w:hAnsi="Arial"/>
                <w:sz w:val="13"/>
                <w:szCs w:val="13"/>
                <w:color w:val="0000FF"/>
              </w:rPr>
              <w:t>D</w:t>
            </w: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Units</w:t>
            </w:r>
          </w:p>
        </w:tc>
        <w:tc>
          <w:tcPr>
            <w:tcW w:w="5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0"/>
              </w:rPr>
              <w:t>$0.001</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87"/>
              </w:rPr>
              <w:t>per share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jc w:val="center"/>
              <w:ind w:right="16"/>
              <w:spacing w:after="0"/>
              <w:rPr>
                <w:sz w:val="20"/>
                <w:szCs w:val="20"/>
                <w:color w:val="auto"/>
              </w:rPr>
            </w:pPr>
            <w:r>
              <w:rPr>
                <w:rFonts w:ascii="Arial" w:cs="Arial" w:eastAsia="Arial" w:hAnsi="Arial"/>
                <w:sz w:val="13"/>
                <w:szCs w:val="13"/>
                <w:color w:val="0000FF"/>
                <w:w w:val="94"/>
              </w:rPr>
              <w:t>Common</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gridSpan w:val="2"/>
          </w:tcPr>
          <w:p>
            <w:pPr>
              <w:ind w:left="60"/>
              <w:spacing w:after="0" w:line="146" w:lineRule="exact"/>
              <w:rPr>
                <w:sz w:val="20"/>
                <w:szCs w:val="20"/>
                <w:color w:val="auto"/>
              </w:rPr>
            </w:pPr>
            <w:r>
              <w:rPr>
                <w:rFonts w:ascii="Arial" w:cs="Arial" w:eastAsia="Arial" w:hAnsi="Arial"/>
                <w:sz w:val="13"/>
                <w:szCs w:val="13"/>
                <w:color w:val="0000FF"/>
                <w:w w:val="99"/>
              </w:rPr>
              <w:t>Performance</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(9)</w:t>
            </w:r>
          </w:p>
        </w:tc>
        <w:tc>
          <w:tcPr>
            <w:tcW w:w="700" w:type="dxa"/>
            <w:vAlign w:val="bottom"/>
          </w:tcPr>
          <w:p>
            <w:pPr>
              <w:spacing w:after="0"/>
              <w:rPr>
                <w:sz w:val="12"/>
                <w:szCs w:val="12"/>
                <w:color w:val="auto"/>
              </w:rPr>
            </w:pPr>
          </w:p>
        </w:tc>
        <w:tc>
          <w:tcPr>
            <w:tcW w:w="700" w:type="dxa"/>
            <w:vAlign w:val="bottom"/>
          </w:tcPr>
          <w:p>
            <w:pPr>
              <w:jc w:val="center"/>
              <w:ind w:right="16"/>
              <w:spacing w:after="0" w:line="146" w:lineRule="exact"/>
              <w:rPr>
                <w:sz w:val="20"/>
                <w:szCs w:val="20"/>
                <w:color w:val="auto"/>
              </w:rPr>
            </w:pPr>
            <w:r>
              <w:rPr>
                <w:rFonts w:ascii="Arial" w:cs="Arial" w:eastAsia="Arial" w:hAnsi="Arial"/>
                <w:sz w:val="13"/>
                <w:szCs w:val="13"/>
                <w:color w:val="0000FF"/>
                <w:w w:val="93"/>
              </w:rPr>
              <w:t>Stock,</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37,500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Restricted</w:t>
            </w:r>
          </w:p>
        </w:tc>
        <w:tc>
          <w:tcPr>
            <w:tcW w:w="540" w:type="dxa"/>
            <w:vAlign w:val="bottom"/>
          </w:tcPr>
          <w:p>
            <w:pPr>
              <w:ind w:left="3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900" w:type="dxa"/>
            <w:vAlign w:val="bottom"/>
          </w:tcPr>
          <w:p>
            <w:pPr>
              <w:jc w:val="right"/>
              <w:ind w:right="14"/>
              <w:spacing w:after="0" w:line="146" w:lineRule="exact"/>
              <w:rPr>
                <w:sz w:val="20"/>
                <w:szCs w:val="20"/>
                <w:color w:val="auto"/>
              </w:rPr>
            </w:pPr>
            <w:r>
              <w:rPr>
                <w:rFonts w:ascii="Arial" w:cs="Arial" w:eastAsia="Arial" w:hAnsi="Arial"/>
                <w:sz w:val="13"/>
                <w:szCs w:val="13"/>
                <w:color w:val="0000FF"/>
              </w:rPr>
              <w:t>02/13/2014</w:t>
            </w:r>
          </w:p>
        </w:tc>
        <w:tc>
          <w:tcPr>
            <w:tcW w:w="1320" w:type="dxa"/>
            <w:vAlign w:val="bottom"/>
          </w:tcPr>
          <w:p>
            <w:pPr>
              <w:spacing w:after="0"/>
              <w:rPr>
                <w:sz w:val="12"/>
                <w:szCs w:val="12"/>
                <w:color w:val="auto"/>
              </w:rPr>
            </w:pPr>
          </w:p>
        </w:tc>
        <w:tc>
          <w:tcPr>
            <w:tcW w:w="620" w:type="dxa"/>
            <w:vAlign w:val="bottom"/>
          </w:tcPr>
          <w:p>
            <w:pPr>
              <w:ind w:left="140"/>
              <w:spacing w:after="0" w:line="146"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12"/>
                <w:szCs w:val="12"/>
                <w:color w:val="auto"/>
              </w:rPr>
            </w:pPr>
          </w:p>
        </w:tc>
        <w:tc>
          <w:tcPr>
            <w:tcW w:w="560" w:type="dxa"/>
            <w:vAlign w:val="bottom"/>
          </w:tcPr>
          <w:p>
            <w:pPr>
              <w:jc w:val="center"/>
              <w:spacing w:after="0" w:line="146" w:lineRule="exact"/>
              <w:rPr>
                <w:sz w:val="20"/>
                <w:szCs w:val="20"/>
                <w:color w:val="auto"/>
              </w:rPr>
            </w:pPr>
            <w:r>
              <w:rPr>
                <w:rFonts w:ascii="Arial" w:cs="Arial" w:eastAsia="Arial" w:hAnsi="Arial"/>
                <w:sz w:val="13"/>
                <w:szCs w:val="13"/>
                <w:color w:val="0000FF"/>
                <w:w w:val="90"/>
              </w:rPr>
              <w:t>37,500</w:t>
            </w:r>
          </w:p>
        </w:tc>
        <w:tc>
          <w:tcPr>
            <w:tcW w:w="3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00" w:type="dxa"/>
            <w:vAlign w:val="bottom"/>
          </w:tcPr>
          <w:p>
            <w:pPr>
              <w:ind w:left="20"/>
              <w:spacing w:after="0" w:line="146" w:lineRule="exact"/>
              <w:rPr>
                <w:sz w:val="20"/>
                <w:szCs w:val="20"/>
                <w:color w:val="auto"/>
              </w:rPr>
            </w:pPr>
            <w:r>
              <w:rPr>
                <w:rFonts w:ascii="Arial" w:cs="Arial" w:eastAsia="Arial" w:hAnsi="Arial"/>
                <w:sz w:val="13"/>
                <w:szCs w:val="13"/>
                <w:color w:val="0000FF"/>
              </w:rPr>
              <w:t>02/13/2024</w:t>
            </w:r>
          </w:p>
        </w:tc>
        <w:tc>
          <w:tcPr>
            <w:tcW w:w="700" w:type="dxa"/>
            <w:vAlign w:val="bottom"/>
          </w:tcPr>
          <w:p>
            <w:pPr>
              <w:jc w:val="center"/>
              <w:ind w:right="16"/>
              <w:spacing w:after="0" w:line="146" w:lineRule="exact"/>
              <w:rPr>
                <w:sz w:val="20"/>
                <w:szCs w:val="20"/>
                <w:color w:val="auto"/>
              </w:rPr>
            </w:pPr>
            <w:r>
              <w:rPr>
                <w:rFonts w:ascii="Arial" w:cs="Arial" w:eastAsia="Arial" w:hAnsi="Arial"/>
                <w:sz w:val="13"/>
                <w:szCs w:val="13"/>
                <w:color w:val="0000FF"/>
                <w:w w:val="93"/>
              </w:rPr>
              <w:t>par value</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12"/>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jc w:val="center"/>
              <w:spacing w:after="0" w:line="146" w:lineRule="exact"/>
              <w:rPr>
                <w:sz w:val="20"/>
                <w:szCs w:val="20"/>
                <w:color w:val="auto"/>
              </w:rPr>
            </w:pPr>
            <w:r>
              <w:rPr>
                <w:rFonts w:ascii="Arial" w:cs="Arial" w:eastAsia="Arial" w:hAnsi="Arial"/>
                <w:sz w:val="13"/>
                <w:szCs w:val="13"/>
                <w:color w:val="0000FF"/>
                <w:w w:val="90"/>
              </w:rPr>
              <w:t>37,500</w:t>
            </w:r>
          </w:p>
        </w:tc>
        <w:tc>
          <w:tcPr>
            <w:tcW w:w="680" w:type="dxa"/>
            <w:vAlign w:val="bottom"/>
          </w:tcPr>
          <w:p>
            <w:pPr>
              <w:ind w:left="400"/>
              <w:spacing w:after="0" w:line="146" w:lineRule="exact"/>
              <w:rPr>
                <w:sz w:val="20"/>
                <w:szCs w:val="20"/>
                <w:color w:val="auto"/>
              </w:rPr>
            </w:pPr>
            <w:r>
              <w:rPr>
                <w:rFonts w:ascii="Arial" w:cs="Arial" w:eastAsia="Arial" w:hAnsi="Arial"/>
                <w:sz w:val="13"/>
                <w:szCs w:val="13"/>
                <w:color w:val="0000FF"/>
              </w:rPr>
              <w:t>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 Units</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90"/>
              </w:rPr>
              <w:t>$0.001</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87"/>
              </w:rPr>
              <w:t>per share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 2012 Family Trust.</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 2005 Grantor Retained Annuity Trust.</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 Spousal Lifetime Access Trust.</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Shikha Kapoor 2005 Family Trust.</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 2013 Grantor Retained Annuity Trust.</w:t>
      </w:r>
    </w:p>
    <w:p>
      <w:pPr>
        <w:spacing w:after="0" w:line="49" w:lineRule="exact"/>
        <w:rPr>
          <w:rFonts w:ascii="Arial" w:cs="Arial" w:eastAsia="Arial" w:hAnsi="Arial"/>
          <w:sz w:val="13"/>
          <w:szCs w:val="13"/>
          <w:color w:val="008000"/>
        </w:rPr>
      </w:pPr>
    </w:p>
    <w:p>
      <w:pPr>
        <w:ind w:left="40" w:right="42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33.3% of the restricted stock will vest on February 13, 2015; an additional 33.3% will vest on February 13, 2016; and the remaining balance of the restricted stock will vest on February 13, 2017. Vesting of some or all of the restricted stock may be accelerated upon or in connection with the occurrence of a "Change in Control," as such term is defined in the agreement governing the grant of the restricted stock.</w:t>
      </w:r>
    </w:p>
    <w:p>
      <w:pPr>
        <w:ind w:left="40" w:right="30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will vest in four equal annual installments, beginning on February 13, 2015. Vesting will be accelerated upon certain terminations of employment and upon a "Change in Control" (as such term is defined in the ExlService Holdings, Inc. 2006 Omnibus Award Plan (the "Omnibus Award Plan") and in the agreement governing the grant of the restricted stock units).</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performance restricted stock units will vest on December 31, 2016, if applicable performance targets, which are set out in the agreement governing the grant of the performance restricted stock units, are</w:t>
      </w:r>
    </w:p>
    <w:p>
      <w:pPr>
        <w:sectPr>
          <w:pgSz w:w="11900" w:h="16895" w:orient="portrait"/>
          <w:cols w:equalWidth="0" w:num="1">
            <w:col w:w="11520"/>
          </w:cols>
          <w:pgMar w:left="240" w:top="224" w:right="139" w:bottom="0" w:gutter="0" w:footer="0" w:header="0"/>
          <w:type w:val="continuous"/>
        </w:sectPr>
      </w:pPr>
    </w:p>
    <w:bookmarkStart w:id="1" w:name="page2"/>
    <w:bookmarkEnd w:id="1"/>
    <w:p>
      <w:pPr>
        <w:spacing w:after="0" w:line="265" w:lineRule="auto"/>
        <w:rPr>
          <w:sz w:val="20"/>
          <w:szCs w:val="20"/>
          <w:color w:val="auto"/>
        </w:rPr>
      </w:pPr>
      <w:r>
        <w:rPr>
          <w:rFonts w:ascii="Arial" w:cs="Arial" w:eastAsia="Arial" w:hAnsi="Arial"/>
          <w:sz w:val="13"/>
          <w:szCs w:val="13"/>
          <w:color w:val="008000"/>
        </w:rPr>
        <w:t>met. Vesting of some or all of the performance restricted stock units may be accelerated upon or in connection with the occurrence of a "Change in Control," as such term is defined in the Omnibus Award Plan and the agreement governing the grant of the performance restricted stock units.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3" w:lineRule="exact"/>
        <w:rPr>
          <w:sz w:val="20"/>
          <w:szCs w:val="20"/>
          <w:color w:val="auto"/>
        </w:rPr>
      </w:pPr>
    </w:p>
    <w:tbl>
      <w:tblPr>
        <w:tblLayout w:type="fixed"/>
        <w:tblInd w:w="682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Lazbart Oseni,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02/18/2014</w:t>
            </w:r>
          </w:p>
        </w:tc>
        <w:tc>
          <w:tcPr>
            <w:tcW w:w="0" w:type="dxa"/>
            <w:vAlign w:val="bottom"/>
          </w:tcPr>
          <w:p>
            <w:pPr>
              <w:spacing w:after="0"/>
              <w:rPr>
                <w:sz w:val="1"/>
                <w:szCs w:val="1"/>
                <w:color w:val="auto"/>
              </w:rPr>
            </w:pPr>
          </w:p>
        </w:tc>
      </w:tr>
      <w:tr>
        <w:trPr>
          <w:trHeight w:val="86"/>
        </w:trPr>
        <w:tc>
          <w:tcPr>
            <w:tcW w:w="2220" w:type="dxa"/>
            <w:vAlign w:val="bottom"/>
            <w:gridSpan w:val="3"/>
            <w:vMerge w:val="restart"/>
          </w:tcPr>
          <w:p>
            <w:pPr>
              <w:spacing w:after="0" w:line="193" w:lineRule="exact"/>
              <w:rPr>
                <w:sz w:val="20"/>
                <w:szCs w:val="20"/>
                <w:color w:val="auto"/>
              </w:rPr>
            </w:pPr>
            <w:r>
              <w:rPr>
                <w:rFonts w:ascii="Arial" w:cs="Arial" w:eastAsia="Arial" w:hAnsi="Arial"/>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2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640" w:firstLine="6"/>
        <w:spacing w:after="0" w:line="318"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3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2019-12-16T15:40:46Z</dcterms:created>
  <dcterms:modified xsi:type="dcterms:W3CDTF">2019-12-16T15:40:46Z</dcterms:modified>
</cp:coreProperties>
</file>