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98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98055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01/29/2024</w:t>
            </w:r>
          </w:p>
        </w:tc>
        <w:tc>
          <w:tcPr>
            <w:tcW w:w="1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8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CEO &amp; Vice Chairman</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6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2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2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2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01/29/2024</w:t>
            </w:r>
          </w:p>
        </w:tc>
        <w:tc>
          <w:tcPr>
            <w:tcW w:w="112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354,000</w:t>
            </w:r>
            <w:r>
              <w:rPr>
                <w:rFonts w:ascii="Times New Roman" w:cs="Times New Roman" w:eastAsia="Times New Roman" w:hAnsi="Times New Roman"/>
                <w:sz w:val="22"/>
                <w:szCs w:val="22"/>
                <w:color w:val="008000"/>
                <w:vertAlign w:val="superscript"/>
              </w:rPr>
              <w:t>(2)</w:t>
            </w: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1,501,840</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8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000"/>
          </w:cols>
          <w:pgMar w:left="460" w:top="219" w:right="439" w:bottom="0" w:gutter="0" w:footer="0" w:header="0"/>
          <w:type w:val="continuous"/>
        </w:sectPr>
      </w:pPr>
    </w:p>
    <w:p>
      <w:pPr>
        <w:spacing w:after="0" w:line="11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tabs>
          <w:tab w:leader="none" w:pos="1340" w:val="left"/>
          <w:tab w:leader="none" w:pos="1880" w:val="left"/>
        </w:tabs>
        <w:rPr>
          <w:sz w:val="20"/>
          <w:szCs w:val="20"/>
          <w:color w:val="auto"/>
        </w:rPr>
      </w:pPr>
      <w:r>
        <w:rPr>
          <w:rFonts w:ascii="Times New Roman" w:cs="Times New Roman" w:eastAsia="Times New Roman" w:hAnsi="Times New Roman"/>
          <w:sz w:val="34"/>
          <w:szCs w:val="34"/>
          <w:color w:val="0000FF"/>
          <w:vertAlign w:val="subscript"/>
        </w:rPr>
        <w:t>885,670</w:t>
      </w:r>
      <w:r>
        <w:rPr>
          <w:rFonts w:ascii="Times New Roman" w:cs="Times New Roman" w:eastAsia="Times New Roman" w:hAnsi="Times New Roman"/>
          <w:sz w:val="11"/>
          <w:szCs w:val="11"/>
          <w:color w:val="008000"/>
        </w:rPr>
        <w:t>(2)</w:t>
      </w:r>
      <w:r>
        <w:rPr>
          <w:sz w:val="20"/>
          <w:szCs w:val="20"/>
          <w:color w:val="auto"/>
        </w:rPr>
        <w:tab/>
      </w:r>
      <w:r>
        <w:rPr>
          <w:rFonts w:ascii="Times New Roman" w:cs="Times New Roman" w:eastAsia="Times New Roman" w:hAnsi="Times New Roman"/>
          <w:sz w:val="35"/>
          <w:szCs w:val="35"/>
          <w:color w:val="0000FF"/>
          <w:vertAlign w:val="subscript"/>
        </w:rPr>
        <w:t>I</w:t>
      </w:r>
      <w:r>
        <w:rPr>
          <w:sz w:val="20"/>
          <w:szCs w:val="20"/>
          <w:color w:val="auto"/>
        </w:rPr>
        <w:tab/>
      </w:r>
      <w:r>
        <w:rPr>
          <w:rFonts w:ascii="Times New Roman" w:cs="Times New Roman" w:eastAsia="Times New Roman" w:hAnsi="Times New Roman"/>
          <w:sz w:val="26"/>
          <w:szCs w:val="26"/>
          <w:color w:val="0000FF"/>
          <w:vertAlign w:val="superscript"/>
        </w:rPr>
        <w:t>See</w:t>
      </w:r>
    </w:p>
    <w:p>
      <w:pPr>
        <w:spacing w:after="0" w:line="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p>
      <w:pPr>
        <w:spacing w:after="0" w:line="228" w:lineRule="auto"/>
        <w:tabs>
          <w:tab w:leader="none" w:pos="1340" w:val="left"/>
          <w:tab w:leader="none" w:pos="1880" w:val="left"/>
        </w:tabs>
        <w:rPr>
          <w:sz w:val="20"/>
          <w:szCs w:val="20"/>
          <w:color w:val="auto"/>
        </w:rPr>
      </w:pPr>
      <w:r>
        <w:rPr>
          <w:rFonts w:ascii="Times New Roman" w:cs="Times New Roman" w:eastAsia="Times New Roman" w:hAnsi="Times New Roman"/>
          <w:sz w:val="34"/>
          <w:szCs w:val="34"/>
          <w:color w:val="0000FF"/>
          <w:vertAlign w:val="subscript"/>
        </w:rPr>
        <w:t>420,000</w:t>
      </w:r>
      <w:r>
        <w:rPr>
          <w:rFonts w:ascii="Times New Roman" w:cs="Times New Roman" w:eastAsia="Times New Roman" w:hAnsi="Times New Roman"/>
          <w:sz w:val="11"/>
          <w:szCs w:val="11"/>
          <w:color w:val="008000"/>
        </w:rPr>
        <w:t>(2)</w:t>
      </w:r>
      <w:r>
        <w:rPr>
          <w:sz w:val="20"/>
          <w:szCs w:val="20"/>
          <w:color w:val="auto"/>
        </w:rPr>
        <w:tab/>
      </w:r>
      <w:r>
        <w:rPr>
          <w:rFonts w:ascii="Times New Roman" w:cs="Times New Roman" w:eastAsia="Times New Roman" w:hAnsi="Times New Roman"/>
          <w:sz w:val="35"/>
          <w:szCs w:val="35"/>
          <w:color w:val="0000FF"/>
          <w:vertAlign w:val="subscript"/>
        </w:rPr>
        <w:t>I</w:t>
      </w:r>
      <w:r>
        <w:rPr>
          <w:sz w:val="20"/>
          <w:szCs w:val="20"/>
          <w:color w:val="auto"/>
        </w:rPr>
        <w:tab/>
      </w:r>
      <w:r>
        <w:rPr>
          <w:rFonts w:ascii="Times New Roman" w:cs="Times New Roman" w:eastAsia="Times New Roman" w:hAnsi="Times New Roman"/>
          <w:sz w:val="26"/>
          <w:szCs w:val="26"/>
          <w:color w:val="0000FF"/>
          <w:vertAlign w:val="superscript"/>
        </w:rPr>
        <w:t>See</w:t>
      </w:r>
    </w:p>
    <w:p>
      <w:pPr>
        <w:spacing w:after="0" w:line="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p>
      <w:pPr>
        <w:spacing w:after="0" w:line="228" w:lineRule="auto"/>
        <w:tabs>
          <w:tab w:leader="none" w:pos="1340" w:val="left"/>
          <w:tab w:leader="none" w:pos="1880" w:val="left"/>
        </w:tabs>
        <w:rPr>
          <w:sz w:val="20"/>
          <w:szCs w:val="20"/>
          <w:color w:val="auto"/>
        </w:rPr>
      </w:pPr>
      <w:r>
        <w:rPr>
          <w:rFonts w:ascii="Times New Roman" w:cs="Times New Roman" w:eastAsia="Times New Roman" w:hAnsi="Times New Roman"/>
          <w:sz w:val="34"/>
          <w:szCs w:val="34"/>
          <w:color w:val="0000FF"/>
          <w:vertAlign w:val="subscript"/>
        </w:rPr>
        <w:t>420,000</w:t>
      </w:r>
      <w:r>
        <w:rPr>
          <w:rFonts w:ascii="Times New Roman" w:cs="Times New Roman" w:eastAsia="Times New Roman" w:hAnsi="Times New Roman"/>
          <w:sz w:val="11"/>
          <w:szCs w:val="11"/>
          <w:color w:val="008000"/>
        </w:rPr>
        <w:t>(2)</w:t>
      </w:r>
      <w:r>
        <w:rPr>
          <w:sz w:val="20"/>
          <w:szCs w:val="20"/>
          <w:color w:val="auto"/>
        </w:rPr>
        <w:tab/>
      </w:r>
      <w:r>
        <w:rPr>
          <w:rFonts w:ascii="Times New Roman" w:cs="Times New Roman" w:eastAsia="Times New Roman" w:hAnsi="Times New Roman"/>
          <w:sz w:val="35"/>
          <w:szCs w:val="35"/>
          <w:color w:val="0000FF"/>
          <w:vertAlign w:val="subscript"/>
        </w:rPr>
        <w:t>I</w:t>
      </w:r>
      <w:r>
        <w:rPr>
          <w:sz w:val="20"/>
          <w:szCs w:val="20"/>
          <w:color w:val="auto"/>
        </w:rPr>
        <w:tab/>
      </w:r>
      <w:r>
        <w:rPr>
          <w:rFonts w:ascii="Times New Roman" w:cs="Times New Roman" w:eastAsia="Times New Roman" w:hAnsi="Times New Roman"/>
          <w:sz w:val="26"/>
          <w:szCs w:val="26"/>
          <w:color w:val="0000FF"/>
          <w:vertAlign w:val="superscript"/>
        </w:rPr>
        <w:t>See</w:t>
      </w:r>
    </w:p>
    <w:p>
      <w:pPr>
        <w:spacing w:after="0" w:line="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p>
      <w:pPr>
        <w:spacing w:after="0" w:line="228" w:lineRule="auto"/>
        <w:tabs>
          <w:tab w:leader="none" w:pos="1340" w:val="left"/>
          <w:tab w:leader="none" w:pos="1880" w:val="left"/>
        </w:tabs>
        <w:rPr>
          <w:sz w:val="20"/>
          <w:szCs w:val="20"/>
          <w:color w:val="auto"/>
        </w:rPr>
      </w:pPr>
      <w:r>
        <w:rPr>
          <w:rFonts w:ascii="Times New Roman" w:cs="Times New Roman" w:eastAsia="Times New Roman" w:hAnsi="Times New Roman"/>
          <w:sz w:val="34"/>
          <w:szCs w:val="34"/>
          <w:color w:val="0000FF"/>
          <w:vertAlign w:val="subscript"/>
        </w:rPr>
        <w:t>665,925</w:t>
      </w:r>
      <w:r>
        <w:rPr>
          <w:rFonts w:ascii="Times New Roman" w:cs="Times New Roman" w:eastAsia="Times New Roman" w:hAnsi="Times New Roman"/>
          <w:sz w:val="11"/>
          <w:szCs w:val="11"/>
          <w:color w:val="008000"/>
        </w:rPr>
        <w:t>(2)</w:t>
      </w:r>
      <w:r>
        <w:rPr>
          <w:sz w:val="20"/>
          <w:szCs w:val="20"/>
          <w:color w:val="auto"/>
        </w:rPr>
        <w:tab/>
      </w:r>
      <w:r>
        <w:rPr>
          <w:rFonts w:ascii="Times New Roman" w:cs="Times New Roman" w:eastAsia="Times New Roman" w:hAnsi="Times New Roman"/>
          <w:sz w:val="35"/>
          <w:szCs w:val="35"/>
          <w:color w:val="0000FF"/>
          <w:vertAlign w:val="subscript"/>
        </w:rPr>
        <w:t>I</w:t>
      </w:r>
      <w:r>
        <w:rPr>
          <w:sz w:val="20"/>
          <w:szCs w:val="20"/>
          <w:color w:val="auto"/>
        </w:rPr>
        <w:tab/>
      </w:r>
      <w:r>
        <w:rPr>
          <w:rFonts w:ascii="Times New Roman" w:cs="Times New Roman" w:eastAsia="Times New Roman" w:hAnsi="Times New Roman"/>
          <w:sz w:val="26"/>
          <w:szCs w:val="26"/>
          <w:color w:val="0000FF"/>
          <w:vertAlign w:val="superscript"/>
        </w:rPr>
        <w:t>See</w:t>
      </w:r>
    </w:p>
    <w:p>
      <w:pPr>
        <w:spacing w:after="0" w:line="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p>
      <w:pPr>
        <w:spacing w:after="0" w:line="228" w:lineRule="auto"/>
        <w:tabs>
          <w:tab w:leader="none" w:pos="1340" w:val="left"/>
          <w:tab w:leader="none" w:pos="1880" w:val="left"/>
        </w:tabs>
        <w:rPr>
          <w:sz w:val="20"/>
          <w:szCs w:val="20"/>
          <w:color w:val="auto"/>
        </w:rPr>
      </w:pPr>
      <w:r>
        <w:rPr>
          <w:rFonts w:ascii="Times New Roman" w:cs="Times New Roman" w:eastAsia="Times New Roman" w:hAnsi="Times New Roman"/>
          <w:sz w:val="34"/>
          <w:szCs w:val="34"/>
          <w:color w:val="0000FF"/>
          <w:vertAlign w:val="subscript"/>
        </w:rPr>
        <w:t>201,095</w:t>
      </w:r>
      <w:r>
        <w:rPr>
          <w:rFonts w:ascii="Times New Roman" w:cs="Times New Roman" w:eastAsia="Times New Roman" w:hAnsi="Times New Roman"/>
          <w:sz w:val="11"/>
          <w:szCs w:val="11"/>
          <w:color w:val="008000"/>
        </w:rPr>
        <w:t>(2)</w:t>
      </w:r>
      <w:r>
        <w:rPr>
          <w:sz w:val="20"/>
          <w:szCs w:val="20"/>
          <w:color w:val="auto"/>
        </w:rPr>
        <w:tab/>
      </w:r>
      <w:r>
        <w:rPr>
          <w:rFonts w:ascii="Times New Roman" w:cs="Times New Roman" w:eastAsia="Times New Roman" w:hAnsi="Times New Roman"/>
          <w:sz w:val="35"/>
          <w:szCs w:val="35"/>
          <w:color w:val="0000FF"/>
          <w:vertAlign w:val="subscript"/>
        </w:rPr>
        <w:t>I</w:t>
      </w:r>
      <w:r>
        <w:rPr>
          <w:sz w:val="20"/>
          <w:szCs w:val="20"/>
          <w:color w:val="auto"/>
        </w:rPr>
        <w:tab/>
      </w:r>
      <w:r>
        <w:rPr>
          <w:rFonts w:ascii="Times New Roman" w:cs="Times New Roman" w:eastAsia="Times New Roman" w:hAnsi="Times New Roman"/>
          <w:sz w:val="26"/>
          <w:szCs w:val="26"/>
          <w:color w:val="0000FF"/>
          <w:vertAlign w:val="superscript"/>
        </w:rPr>
        <w:t>See</w:t>
      </w:r>
    </w:p>
    <w:p>
      <w:pPr>
        <w:spacing w:after="0" w:line="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p>
      <w:pPr>
        <w:spacing w:after="0" w:line="100" w:lineRule="exact"/>
        <w:rPr>
          <w:sz w:val="24"/>
          <w:szCs w:val="24"/>
          <w:color w:val="auto"/>
        </w:rPr>
      </w:pPr>
    </w:p>
    <w:p>
      <w:pPr>
        <w:sectPr>
          <w:pgSz w:w="11900" w:h="16838" w:orient="portrait"/>
          <w:cols w:equalWidth="0" w:num="2">
            <w:col w:w="7520" w:space="720"/>
            <w:col w:w="276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17, 2021. Such shares of Common Stock were deemed earned on January 29, 2024 based on the Compensation Committee of the Board of Directors administering the award certifying the achievement of performance targets applicable to the PRSUs for the performance period ending on December 31, 2023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shares has been adjusted to reflect the impact of the 5-for-1 forward stock split effective August 1,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01/31/2024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2024-01-31T16:54:24Z</dcterms:created>
  <dcterms:modified xsi:type="dcterms:W3CDTF">2024-01-31T16:54:24Z</dcterms:modified>
</cp:coreProperties>
</file>