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8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8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04/11/2016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2,700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ind w:left="88"/>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24.77</w:t>
            </w:r>
          </w:p>
        </w:tc>
        <w:tc>
          <w:tcPr>
            <w:tcW w:w="20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10,806</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04/11/2016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2,700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50.9864</w:t>
            </w:r>
            <w:r>
              <w:rPr>
                <w:rFonts w:ascii="Arial" w:cs="Arial" w:eastAsia="Arial" w:hAnsi="Arial"/>
                <w:sz w:val="22"/>
                <w:szCs w:val="22"/>
                <w:color w:val="008000"/>
                <w:w w:val="85"/>
                <w:vertAlign w:val="superscript"/>
              </w:rPr>
              <w:t>(3)</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8,106</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04/11/2016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2,292</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50.9864</w:t>
            </w:r>
            <w:r>
              <w:rPr>
                <w:rFonts w:ascii="Arial" w:cs="Arial" w:eastAsia="Arial" w:hAnsi="Arial"/>
                <w:sz w:val="22"/>
                <w:szCs w:val="22"/>
                <w:color w:val="008000"/>
                <w:w w:val="85"/>
                <w:vertAlign w:val="superscript"/>
              </w:rPr>
              <w:t>(3)</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5,814</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2,700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04/11/2016</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2,700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02/07/2022</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6,550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11, 2016 the reporting person exercised previously issued options to purchase an aggregate of 2,700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$50.68 to $51.26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11,050 stock options. 10 percent of these options became vested and exercisable on 2/7/2013, an additional 20 percent became vested and exercisable on 2/7/2017, an additional 30 percent became vested and exercisable on 2/7/2015, and the balance of 40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2019-12-08T02:11:19Z</dcterms:created>
  <dcterms:modified xsi:type="dcterms:W3CDTF">2019-12-08T02:11:19Z</dcterms:modified>
</cp:coreProperties>
</file>