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54387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43877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81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Bhalla Vikas</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02/19/2026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1004"/>
        <w:spacing w:after="0"/>
        <w:rPr>
          <w:sz w:val="20"/>
          <w:szCs w:val="20"/>
          <w:color w:val="auto"/>
        </w:rPr>
      </w:pPr>
      <w:r>
        <w:rPr>
          <w:rFonts w:ascii="Times New Roman" w:cs="Times New Roman" w:eastAsia="Times New Roman" w:hAnsi="Times New Roman"/>
          <w:sz w:val="17"/>
          <w:szCs w:val="17"/>
          <w:color w:val="0000FF"/>
        </w:rPr>
        <w:t>President of EXL</w:t>
      </w:r>
    </w:p>
    <w:p>
      <w:pPr>
        <w:spacing w:after="0" w:line="305" w:lineRule="exact"/>
        <w:rPr>
          <w:sz w:val="24"/>
          <w:szCs w:val="24"/>
          <w:color w:val="auto"/>
        </w:rPr>
      </w:pPr>
    </w:p>
    <w:p>
      <w:pPr>
        <w:sectPr>
          <w:pgSz w:w="11900" w:h="16838" w:orient="portrait"/>
          <w:cols w:equalWidth="0" w:num="3">
            <w:col w:w="3180" w:space="720"/>
            <w:col w:w="3116" w:space="720"/>
            <w:col w:w="3344"/>
          </w:cols>
          <w:pgMar w:left="460" w:top="216" w:right="359" w:bottom="81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36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7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700" w:type="dxa"/>
            <w:vAlign w:val="bottom"/>
            <w:gridSpan w:val="6"/>
            <w:vMerge w:val="continue"/>
          </w:tcPr>
          <w:p>
            <w:pPr>
              <w:spacing w:after="0"/>
              <w:rPr>
                <w:sz w:val="7"/>
                <w:szCs w:val="7"/>
                <w:color w:val="auto"/>
              </w:rPr>
            </w:pPr>
          </w:p>
        </w:tc>
        <w:tc>
          <w:tcPr>
            <w:tcW w:w="36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7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10022</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40" w:type="dxa"/>
            <w:vAlign w:val="bottom"/>
            <w:gridSpan w:val="7"/>
          </w:tcPr>
          <w:p>
            <w:pPr>
              <w:ind w:left="14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7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4"/>
          </w:tcPr>
          <w:p>
            <w:pPr>
              <w:spacing w:after="0"/>
              <w:rPr>
                <w:sz w:val="10"/>
                <w:szCs w:val="10"/>
                <w:color w:val="auto"/>
              </w:rPr>
            </w:pPr>
          </w:p>
        </w:tc>
        <w:tc>
          <w:tcPr>
            <w:tcW w:w="424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240" w:type="dxa"/>
            <w:vAlign w:val="bottom"/>
            <w:tcBorders>
              <w:bottom w:val="single" w:sz="8" w:color="2C2C2C"/>
            </w:tcBorders>
            <w:gridSpan w:val="6"/>
          </w:tcPr>
          <w:p>
            <w:pPr>
              <w:spacing w:after="0"/>
              <w:rPr>
                <w:sz w:val="3"/>
                <w:szCs w:val="3"/>
                <w:color w:val="auto"/>
              </w:rPr>
            </w:pPr>
          </w:p>
        </w:tc>
        <w:tc>
          <w:tcPr>
            <w:tcW w:w="108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324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080" w:type="dxa"/>
            <w:vAlign w:val="bottom"/>
            <w:tcBorders>
              <w:bottom w:val="single" w:sz="8" w:color="2C2C2C"/>
            </w:tcBorders>
            <w:gridSpan w:val="3"/>
          </w:tcPr>
          <w:p>
            <w:pPr>
              <w:jc w:val="right"/>
              <w:ind w:right="156"/>
              <w:spacing w:after="0"/>
              <w:rPr>
                <w:sz w:val="20"/>
                <w:szCs w:val="20"/>
                <w:color w:val="auto"/>
              </w:rPr>
            </w:pPr>
            <w:r>
              <w:rPr>
                <w:rFonts w:ascii="Times New Roman" w:cs="Times New Roman" w:eastAsia="Times New Roman" w:hAnsi="Times New Roman"/>
                <w:sz w:val="17"/>
                <w:szCs w:val="17"/>
                <w:color w:val="0000FF"/>
              </w:rPr>
              <w:t>02/20/2026</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6,849</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162,124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080" w:type="dxa"/>
            <w:vAlign w:val="bottom"/>
            <w:tcBorders>
              <w:bottom w:val="single" w:sz="8" w:color="2C2C2C"/>
            </w:tcBorders>
            <w:gridSpan w:val="3"/>
          </w:tcPr>
          <w:p>
            <w:pPr>
              <w:jc w:val="right"/>
              <w:ind w:right="156"/>
              <w:spacing w:after="0"/>
              <w:rPr>
                <w:sz w:val="20"/>
                <w:szCs w:val="20"/>
                <w:color w:val="auto"/>
              </w:rPr>
            </w:pPr>
            <w:r>
              <w:rPr>
                <w:rFonts w:ascii="Times New Roman" w:cs="Times New Roman" w:eastAsia="Times New Roman" w:hAnsi="Times New Roman"/>
                <w:sz w:val="17"/>
                <w:szCs w:val="17"/>
                <w:color w:val="0000FF"/>
              </w:rPr>
              <w:t>02/20/2026</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2,672</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30.41</w:t>
            </w:r>
            <w:r>
              <w:rPr>
                <w:rFonts w:ascii="Times New Roman" w:cs="Times New Roman" w:eastAsia="Times New Roman" w:hAnsi="Times New Roman"/>
                <w:sz w:val="21"/>
                <w:szCs w:val="21"/>
                <w:color w:val="008000"/>
                <w:w w:val="90"/>
                <w:vertAlign w:val="superscript"/>
              </w:rPr>
              <w:t>(2)</w:t>
            </w: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159,452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6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6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 3,</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8"/>
              </w:rPr>
              <w:t>45,324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02/19/2026</w:t>
            </w: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396"/>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45,324</w:t>
            </w:r>
          </w:p>
        </w:tc>
        <w:tc>
          <w:tcPr>
            <w:tcW w:w="4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45,324</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vMerge w:val="restart"/>
          </w:tcPr>
          <w:p>
            <w:pPr>
              <w:ind w:left="80"/>
              <w:spacing w:after="0" w:line="28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6,849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02/20/2026</w:t>
            </w: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6,849</w:t>
            </w:r>
          </w:p>
        </w:tc>
        <w:tc>
          <w:tcPr>
            <w:tcW w:w="7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20,547</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$0.001</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80"/>
        <w:spacing w:after="0"/>
        <w:rPr>
          <w:sz w:val="20"/>
          <w:szCs w:val="20"/>
          <w:color w:val="auto"/>
        </w:rPr>
      </w:pPr>
      <w:r>
        <w:rPr>
          <w:rFonts w:ascii="Times New Roman" w:cs="Times New Roman" w:eastAsia="Times New Roman" w:hAnsi="Times New Roman"/>
          <w:sz w:val="13"/>
          <w:szCs w:val="13"/>
          <w:color w:val="0000FF"/>
        </w:rPr>
        <w:t>per share</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1" w:lineRule="exact"/>
        <w:rPr>
          <w:rFonts w:ascii="Times New Roman" w:cs="Times New Roman" w:eastAsia="Times New Roman" w:hAnsi="Times New Roman"/>
          <w:sz w:val="13"/>
          <w:szCs w:val="13"/>
          <w:color w:val="008000"/>
        </w:rPr>
      </w:pPr>
    </w:p>
    <w:p>
      <w:pPr>
        <w:ind w:left="40" w:right="26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1" w:lineRule="exact"/>
        <w:rPr>
          <w:rFonts w:ascii="Times New Roman" w:cs="Times New Roman" w:eastAsia="Times New Roman" w:hAnsi="Times New Roman"/>
          <w:sz w:val="13"/>
          <w:szCs w:val="13"/>
          <w:color w:val="008000"/>
        </w:rPr>
      </w:pPr>
    </w:p>
    <w:p>
      <w:pPr>
        <w:ind w:left="40" w:right="18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four equal annual installments, beginning on February 19, 2027. Vesting will be accelerated upon certain termination of employment events and upon a "Change in Control" (as defined in the ExlService Holdings, Inc. 2025 Omnibus Incentive Plan).</w:t>
      </w:r>
    </w:p>
    <w:p>
      <w:pPr>
        <w:spacing w:after="0" w:line="19" w:lineRule="exact"/>
        <w:rPr>
          <w:rFonts w:ascii="Times New Roman" w:cs="Times New Roman" w:eastAsia="Times New Roman" w:hAnsi="Times New Roman"/>
          <w:sz w:val="13"/>
          <w:szCs w:val="13"/>
          <w:color w:val="008000"/>
        </w:rPr>
      </w:pPr>
    </w:p>
    <w:p>
      <w:pPr>
        <w:ind w:left="40" w:right="20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17, 2025, the reporting person was granted 27,396 restricted stock units, vesting in four equal annual installments beginning on February 20, 2026. 25 percent of the restricted stock units became vested on February 20, 2026, an additional 25 percent of the restricted stock units will vest on February 20, 2027, an additional 25 percent of the restricted stock units will vest on February 20, 2028, and the remaining balance of 25 percent of the restricted stock units will vest on February 20, 2029.</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Note: On February 19, 2026 the reporting person was also granted performance-based restricted stock units that are subject to material conditions beyond the reporting person's control, and, therefore, are not</w:t>
      </w:r>
    </w:p>
    <w:p>
      <w:pPr>
        <w:spacing w:after="0" w:line="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considered derivative securities for purposes of Section 16 of the Securities Exchange Act of 1934, as amended, and are excluded from this report. Remarks: Mr. Ayyappan is the Company's General Counsel.</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Ajay Ayyappan, Attorney-in- </w:t>
      </w:r>
      <w:r>
        <w:rPr>
          <w:rFonts w:ascii="Times New Roman" w:cs="Times New Roman" w:eastAsia="Times New Roman" w:hAnsi="Times New Roman"/>
          <w:sz w:val="31"/>
          <w:szCs w:val="31"/>
          <w:color w:val="0000FF"/>
          <w:vertAlign w:val="subscript"/>
        </w:rPr>
        <w:t>02/23/2026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59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1816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8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73633"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2026-02-23T17:54:25Z</dcterms:created>
  <dcterms:modified xsi:type="dcterms:W3CDTF">2026-02-23T17:54:25Z</dcterms:modified>
</cp:coreProperties>
</file>