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40" w:type="dxa"/>
            <w:vAlign w:val="bottom"/>
            <w:gridSpan w:val="11"/>
            <w:vMerge w:val="restart"/>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38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4"/>
          </w:tcPr>
          <w:p>
            <w:pPr>
              <w:ind w:left="38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60" w:type="dxa"/>
            <w:vAlign w:val="bottom"/>
          </w:tcPr>
          <w:p>
            <w:pPr>
              <w:ind w:left="20"/>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120" w:type="dxa"/>
            <w:vAlign w:val="bottom"/>
            <w:gridSpan w:val="8"/>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8"/>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09/21/2017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9,742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182,428</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8"/>
                <w:szCs w:val="18"/>
                <w:color w:val="0000FF"/>
              </w:rPr>
              <w:t>09/21/2017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(3)</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9,742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56.64</w:t>
            </w:r>
            <w:r>
              <w:rPr>
                <w:rFonts w:ascii="Arial" w:cs="Arial" w:eastAsia="Arial" w:hAnsi="Arial"/>
                <w:sz w:val="22"/>
                <w:szCs w:val="22"/>
                <w:color w:val="008000"/>
                <w:w w:val="82"/>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172,686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5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9,742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60" w:type="dxa"/>
            <w:vAlign w:val="bottom"/>
          </w:tcPr>
          <w:p>
            <w:pPr>
              <w:spacing w:after="0"/>
              <w:rPr>
                <w:sz w:val="12"/>
                <w:szCs w:val="12"/>
                <w:color w:val="auto"/>
              </w:rPr>
            </w:pPr>
          </w:p>
        </w:tc>
        <w:tc>
          <w:tcPr>
            <w:tcW w:w="108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09/21/2017</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9,742</w:t>
            </w:r>
          </w:p>
        </w:tc>
        <w:tc>
          <w:tcPr>
            <w:tcW w:w="80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02/10/2019</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7"/>
              </w:rPr>
              <w:t>par value</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72,081</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4"/>
              </w:rPr>
              <w:t>per share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21, 2017 the reporting person exercised previously issued options to purchase an aggregate of 9,742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$56.60 to $56.95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Lazbart Oseni, Attorney-in-  09/25/2017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2019-12-04T00:57:48Z</dcterms:created>
  <dcterms:modified xsi:type="dcterms:W3CDTF">2019-12-04T00:57:48Z</dcterms:modified>
</cp:coreProperties>
</file>