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09/05/2012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540" w:type="dxa"/>
            <w:vAlign w:val="bottom"/>
            <w:shd w:val="clear" w:color="auto" w:fill="9A9A9A"/>
          </w:tcPr>
          <w:p>
            <w:pPr>
              <w:spacing w:after="0"/>
              <w:rPr>
                <w:sz w:val="2"/>
                <w:szCs w:val="2"/>
                <w:color w:val="auto"/>
              </w:rPr>
            </w:pPr>
          </w:p>
        </w:tc>
        <w:tc>
          <w:tcPr>
            <w:tcW w:w="72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38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Line)</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540" w:type="dxa"/>
            <w:vAlign w:val="bottom"/>
          </w:tcPr>
          <w:p>
            <w:pPr>
              <w:spacing w:after="0"/>
              <w:rPr>
                <w:sz w:val="20"/>
                <w:szCs w:val="20"/>
                <w:color w:val="auto"/>
              </w:rPr>
            </w:pPr>
            <w:r>
              <w:rPr>
                <w:rFonts w:ascii="Arial" w:cs="Arial" w:eastAsia="Arial" w:hAnsi="Arial"/>
                <w:sz w:val="18"/>
                <w:szCs w:val="18"/>
                <w:color w:val="0000FF"/>
              </w:rPr>
              <w:t>10017</w:t>
            </w: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5720" w:type="dxa"/>
            <w:vAlign w:val="bottom"/>
            <w:tcBorders>
              <w:bottom w:val="single" w:sz="8" w:color="2C2C2C"/>
            </w:tcBorders>
            <w:gridSpan w:val="10"/>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3"/>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1120" w:type="dxa"/>
            <w:vAlign w:val="bottom"/>
            <w:gridSpan w:val="2"/>
            <w:vMerge w:val="restart"/>
          </w:tcPr>
          <w:p>
            <w:pPr>
              <w:ind w:left="180"/>
              <w:spacing w:after="0"/>
              <w:rPr>
                <w:sz w:val="20"/>
                <w:szCs w:val="20"/>
                <w:color w:val="auto"/>
              </w:rPr>
            </w:pPr>
            <w:r>
              <w:rPr>
                <w:rFonts w:ascii="Arial" w:cs="Arial" w:eastAsia="Arial" w:hAnsi="Arial"/>
                <w:sz w:val="18"/>
                <w:szCs w:val="18"/>
                <w:color w:val="0000FF"/>
              </w:rPr>
              <w:t>09/05/2012</w:t>
            </w: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vMerge w:val="restart"/>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vMerge w:val="restart"/>
          </w:tcPr>
          <w:p>
            <w:pPr>
              <w:ind w:left="180"/>
              <w:spacing w:after="0"/>
              <w:rPr>
                <w:sz w:val="20"/>
                <w:szCs w:val="20"/>
                <w:color w:val="auto"/>
              </w:rPr>
            </w:pPr>
            <w:r>
              <w:rPr>
                <w:rFonts w:ascii="Arial" w:cs="Arial" w:eastAsia="Arial" w:hAnsi="Arial"/>
                <w:sz w:val="18"/>
                <w:szCs w:val="18"/>
                <w:color w:val="0000FF"/>
              </w:rPr>
              <w:t>65,635</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ind w:left="1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26.02</w:t>
            </w:r>
            <w:r>
              <w:rPr>
                <w:rFonts w:ascii="Arial" w:cs="Arial" w:eastAsia="Arial" w:hAnsi="Arial"/>
                <w:sz w:val="22"/>
                <w:szCs w:val="22"/>
                <w:color w:val="008000"/>
                <w:w w:val="90"/>
                <w:vertAlign w:val="superscript"/>
              </w:rPr>
              <w:t>(2)</w:t>
            </w:r>
          </w:p>
        </w:tc>
        <w:tc>
          <w:tcPr>
            <w:tcW w:w="1240" w:type="dxa"/>
            <w:vAlign w:val="bottom"/>
            <w:gridSpan w:val="2"/>
            <w:vMerge w:val="restart"/>
          </w:tcPr>
          <w:p>
            <w:pPr>
              <w:jc w:val="right"/>
              <w:ind w:right="299"/>
              <w:spacing w:after="0"/>
              <w:rPr>
                <w:sz w:val="20"/>
                <w:szCs w:val="20"/>
                <w:color w:val="auto"/>
              </w:rPr>
            </w:pPr>
            <w:r>
              <w:rPr>
                <w:rFonts w:ascii="Arial" w:cs="Arial" w:eastAsia="Arial" w:hAnsi="Arial"/>
                <w:sz w:val="18"/>
                <w:szCs w:val="18"/>
                <w:color w:val="0000FF"/>
              </w:rPr>
              <w:t>419,725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80" w:type="dxa"/>
            <w:vAlign w:val="bottom"/>
            <w:gridSpan w:val="6"/>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top w:val="single" w:sz="8" w:color="2C2C2C"/>
              <w:bottom w:val="single" w:sz="8" w:color="2C2C2C"/>
            </w:tcBorders>
            <w:gridSpan w:val="6"/>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72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1240" w:type="dxa"/>
            <w:vAlign w:val="bottom"/>
            <w:tcBorders>
              <w:top w:val="single" w:sz="8" w:color="2C2C2C"/>
              <w:bottom w:val="single" w:sz="8" w:color="2C2C2C"/>
            </w:tcBorders>
            <w:gridSpan w:val="2"/>
          </w:tcPr>
          <w:p>
            <w:pPr>
              <w:jc w:val="right"/>
              <w:ind w:right="339"/>
              <w:spacing w:after="0"/>
              <w:rPr>
                <w:sz w:val="20"/>
                <w:szCs w:val="20"/>
                <w:color w:val="auto"/>
              </w:rPr>
            </w:pPr>
            <w:r>
              <w:rPr>
                <w:rFonts w:ascii="Arial" w:cs="Arial" w:eastAsia="Arial" w:hAnsi="Arial"/>
                <w:sz w:val="18"/>
                <w:szCs w:val="18"/>
                <w:color w:val="0000FF"/>
              </w:rPr>
              <w:t>37,500</w:t>
            </w:r>
          </w:p>
        </w:tc>
        <w:tc>
          <w:tcPr>
            <w:tcW w:w="940" w:type="dxa"/>
            <w:vAlign w:val="bottom"/>
            <w:tcBorders>
              <w:top w:val="single" w:sz="8" w:color="2C2C2C"/>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82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2"/>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60" w:type="dxa"/>
            <w:vAlign w:val="bottom"/>
            <w:gridSpan w:val="8"/>
          </w:tcPr>
          <w:p>
            <w:pPr>
              <w:ind w:left="10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$26.00 to $26.11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Talwar 1994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Amit Shashank is the Company's Executive Vice President, General Counsel and Corporate Secretary.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4"/>
              </w:rPr>
              <w:t>/s/ Amit Shashank, Attorney-</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09/06/2012</w:t>
            </w: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2019-12-16T15:11:13Z</dcterms:created>
  <dcterms:modified xsi:type="dcterms:W3CDTF">2019-12-16T15:11:13Z</dcterms:modified>
</cp:coreProperties>
</file>