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August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277- 7100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August 1, 2011, ExlService Holdings, Inc. (the “Company”) reported its results of operations for the three months ended June 30, 2011. A copy of the press release issued by the Company concerning the foregoing is furnished herewith as Exhibit 99.1 and is incorporated herein by reference.</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 Release, dated August 1, 2011</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8040" w:val="left"/>
        </w:tabs>
        <w:rPr>
          <w:sz w:val="20"/>
          <w:szCs w:val="20"/>
          <w:color w:val="auto"/>
        </w:rPr>
      </w:pPr>
      <w:r>
        <w:rPr>
          <w:rFonts w:ascii="Arial" w:cs="Arial" w:eastAsia="Arial" w:hAnsi="Arial"/>
          <w:sz w:val="18"/>
          <w:szCs w:val="18"/>
          <w:color w:val="auto"/>
        </w:rPr>
        <w:t>Date: August 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280"/>
        <w:spacing w:after="0"/>
        <w:rPr>
          <w:sz w:val="20"/>
          <w:szCs w:val="20"/>
          <w:color w:val="auto"/>
        </w:rPr>
      </w:pPr>
      <w:r>
        <w:rPr>
          <w:rFonts w:ascii="Arial" w:cs="Arial" w:eastAsia="Arial" w:hAnsi="Arial"/>
          <w:sz w:val="12"/>
          <w:szCs w:val="12"/>
          <w:b w:val="1"/>
          <w:bCs w:val="1"/>
          <w:color w:val="auto"/>
        </w:rPr>
        <w:t>(Duly Authorized Signatory, Principal Financial and</w:t>
      </w:r>
    </w:p>
    <w:p>
      <w:pPr>
        <w:spacing w:after="0" w:line="10"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pacing w:after="0" w:line="1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EXL REPORTS 2011 SECOND QUARTER RESULTS</w:t>
      </w:r>
    </w:p>
    <w:p>
      <w:pPr>
        <w:spacing w:after="0" w:line="177" w:lineRule="exact"/>
        <w:rPr>
          <w:sz w:val="20"/>
          <w:szCs w:val="20"/>
          <w:color w:val="auto"/>
        </w:rPr>
      </w:pPr>
    </w:p>
    <w:p>
      <w:pPr>
        <w:ind w:left="2960"/>
        <w:spacing w:after="0"/>
        <w:rPr>
          <w:sz w:val="20"/>
          <w:szCs w:val="20"/>
          <w:color w:val="auto"/>
        </w:rPr>
      </w:pPr>
      <w:r>
        <w:rPr>
          <w:rFonts w:ascii="Arial" w:cs="Arial" w:eastAsia="Arial" w:hAnsi="Arial"/>
          <w:sz w:val="18"/>
          <w:szCs w:val="18"/>
          <w:b w:val="1"/>
          <w:bCs w:val="1"/>
          <w:i w:val="1"/>
          <w:iCs w:val="1"/>
          <w:color w:val="auto"/>
        </w:rPr>
        <w:t>Quarterly Revenues of $85.0 Million and 15.5% Adjusted Operating Margin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Increases Calendar Year Revenue Guidance to $354.0 million to $358.0 million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Representing Annual Growth of 40% to 42%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Increases Calendar Year Adjusted Operating Margin Guidance to 13.5% to 14.0%</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New York, NY – August 1, 2011 – ExlService Holdings, Inc. (NASDAQ: EXLS), a leading provider of outsourcing and transformation services, today announced its financial results for the quarter ended June 30, 2011.</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Rohit Kapoor, President and CEO, commented: “EXL delivered strong second quarter results for revenue growth and profitability. Our outsourcing business enjoyed strong revenue growth this quarter in F&amp;A and industry-vertical focused processes. EXL closed the OPI acquisition in line with our expected timetable, and I am pleased with the progress we are making in integrating the business. In the marketplace, we are seeing positive demand signals from our clients for F&amp;A services across geographies. We are adding to our talent and building out additional delivery infrastructure around the world to accommodate the growth EXL is experiencing.”</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Vishal Chhibbar, CFO, commented: “EXL’s growth momentum was exceptionally strong in the second quarter. Revenues were $85.0 million, an increase of 40.2% year-over-year. Diluted EPS and adjusted diluted EPS were $0.27 (up 69.3%) and $0.35 (up 50.4%) respectively, despite a higher tax rate in the second quarter. Based on our strong year-to-date results and additional confidence in the performance of our recent acquisition, we are increasing our calendar year 2011 revenue and adjusted operating margin guidance. We now expect revenues of between $354.0 million to $358.0 million, representing annual growth of 40% to 42% and adjusted operating margins of 13.5% to 14.0%.”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right="200" w:hanging="446"/>
        <w:spacing w:after="0" w:line="318"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Revenues for the quarter ended June 30, 2011 were $85.0 million compared to $60.6 million for the quarter ended June 30, 2010 and $72.9 million for the quarter ended March 31, 2011. Outsourcing services revenues for the quarter ended June 30, 2011 were $68.7 million compared to $46.6 million in the quarter ended June 30, 2010 and $56.8 million in the quarter ended March 31, 2011. Outsourcing services revenues for the quarter ended June 30, 2011 include $7.4 million related to one month of OPI revenues. Transformation services revenues for the quarter ended June 30, 2011 were $16.3 million compared to $14.1 million in the quarter ended June 30, 2010 and $16.1 million in the quarter ended March 31, 2011.</w:t>
      </w:r>
    </w:p>
    <w:p>
      <w:pPr>
        <w:spacing w:after="0" w:line="18" w:lineRule="exact"/>
        <w:rPr>
          <w:rFonts w:ascii="Arial" w:cs="Arial" w:eastAsia="Arial" w:hAnsi="Arial"/>
          <w:sz w:val="15"/>
          <w:szCs w:val="15"/>
          <w:color w:val="auto"/>
        </w:rPr>
      </w:pPr>
    </w:p>
    <w:p>
      <w:pPr>
        <w:ind w:left="90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June 30, 2011 was 38.8% compared to 38.2% for the quarter ended June 30, 2010 and 39.3% for the quarter ended March 31, 2011. Outsourcing services gross margin for the quarter ended June 30, 2011 was 39.9% compared to 38.6% for the quarter ended June 30, 2010 and 39.8% for the quarter ended March 31, 2011. Transformation services gross margin for the quarter ended June 30, 2011 was 34.6% compared to 37.2% for the quarter ended June 30, 2010 and 37.9% for the quarter ended March 31, 2011.</w:t>
      </w:r>
    </w:p>
    <w:p>
      <w:pPr>
        <w:spacing w:after="0" w:line="31" w:lineRule="exact"/>
        <w:rPr>
          <w:rFonts w:ascii="Arial" w:cs="Arial" w:eastAsia="Arial" w:hAnsi="Arial"/>
          <w:sz w:val="16"/>
          <w:szCs w:val="16"/>
          <w:color w:val="auto"/>
        </w:rPr>
      </w:pPr>
    </w:p>
    <w:p>
      <w:pPr>
        <w:ind w:left="900" w:right="20" w:hanging="446"/>
        <w:spacing w:after="0" w:line="33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Operating margin for the quarter ended June 30, 2011 was 11.1% compared to 8.7% for the quarter ended June 30, 2010 and 10.3% for the quarter ended March 31, 2011. Adjusted operating margin, excluding the impact of stock-based compensation expense and amortization of intangibles, for the quarter ended June 30, 2011 was 15.5% compared to 13.5% for the quarter ended June 30, 2010 and 14.3% for the quarter ended March 31, 2011.</w:t>
      </w:r>
    </w:p>
    <w:p>
      <w:pPr>
        <w:spacing w:after="0" w:line="7" w:lineRule="exact"/>
        <w:rPr>
          <w:rFonts w:ascii="Arial" w:cs="Arial" w:eastAsia="Arial" w:hAnsi="Arial"/>
          <w:sz w:val="15"/>
          <w:szCs w:val="15"/>
          <w:color w:val="auto"/>
        </w:rPr>
      </w:pPr>
    </w:p>
    <w:p>
      <w:pPr>
        <w:ind w:left="900" w:right="16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ended June 30, 2011 was $8.5 million compared to $4.9 million for the quarter ended June 30, 2010 and $8.4 million for the quarter ended March 31, 2011. Adjusted EBITDA for the quarter ended June 30, 2011 was $17.4 million compared to $11.5 million for the quarter ended June 30, 2010 and $14.6 million for the quarter ended March 31, 2011.</w:t>
      </w:r>
    </w:p>
    <w:p>
      <w:pPr>
        <w:spacing w:after="0" w:line="59" w:lineRule="exact"/>
        <w:rPr>
          <w:rFonts w:ascii="Arial" w:cs="Arial" w:eastAsia="Arial" w:hAnsi="Arial"/>
          <w:sz w:val="18"/>
          <w:szCs w:val="18"/>
          <w:color w:val="auto"/>
        </w:rPr>
      </w:pPr>
    </w:p>
    <w:p>
      <w:pPr>
        <w:jc w:val="both"/>
        <w:ind w:left="900" w:right="2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2011 was $0.27 compared to $0.16 for the quarter ended June 30, 2010 and $0.27 for the quarter ended March 31, 2011. Adjusted diluted earnings per share for the quarter ended June 30, 2011 was $0.35 compared to $0.23 in the quarter ended June 30, 2010 and $0.33 for the quarter ended March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a milestone in EXL’s decision analytics by doubling the number of employees over the last 18 months.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Adding additional global capacity including 1,300 seats in the Phase 2 expansion in a Noida SEZ, 400 seats of additional capacity in Gurgaon and 300 additional seats in Manila.</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Selected by Microsoft as a Gold-level partner to jointly market and enhance EXL’s LifePRO® policy administration platform for life, health, and annuities.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EXL’s client Centrica plc. won the European Outsourcing Association Award for “BPO Contract of the Year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Closed the acquisition of OPI, a leading global provider of F&amp;A outsourcing services with approximately 80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3 new clients in outsourcing services and 1 new client in transformation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with the migration of 33 new processes during the quarter.</w:t>
      </w:r>
    </w:p>
    <w:p>
      <w:pPr>
        <w:spacing w:after="0" w:line="90" w:lineRule="exact"/>
        <w:rPr>
          <w:rFonts w:ascii="Arial" w:cs="Arial" w:eastAsia="Arial" w:hAnsi="Arial"/>
          <w:sz w:val="18"/>
          <w:szCs w:val="18"/>
          <w:color w:val="auto"/>
        </w:rPr>
      </w:pPr>
    </w:p>
    <w:p>
      <w:pPr>
        <w:ind w:left="900" w:right="38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our headcount as of June 30, 2011 to approximately 17,400 compared to approximately 12,200 as of June 30, 2010 and approximately 13,000 as of March 31, 2011. EXL added approximately 3,800 employees as of June 30, 2011 from the acquisition of OPI.</w:t>
      </w:r>
    </w:p>
    <w:p>
      <w:pPr>
        <w:spacing w:after="0" w:line="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Experienced attrition in the second quarter of 32.9% for billable employees compared to 34.6% in the second quarter of 2010 and 32.4% for the first quarter of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revising its guidance for calendar year 2011 based on current exchange rates:</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between $354.0 million - $358.0 million from $347.0 million - $355.0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operating margin, excluding the impact of stock-based compensation expense and amortization of intangibles, of between 13.5% - 14.0%.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EXL will host a conference call on Tuesday, August 2, 2011 at 10:00 a.m. (ET) to discuss the Company’s quarterly operating and financial results. The conference call will be available live via the internet by accessing the investor relations section of EXL’s website at www.exlservice.com. An accompanying investor-friendly spreadsheet of historical operating and financial data is also available on the investor relations section of EXL’s website. Please go to the website at least fifteen minutes prior to the call to register, download and install any necessary audio software.</w:t>
      </w:r>
    </w:p>
    <w:p>
      <w:pPr>
        <w:spacing w:after="0" w:line="11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 listen to the conference call via phone, please dial 1-877-303-6384 or 1-224-357-2191 and enter “76203256”. For those who cannot access the live broadcast, a replay will be available by dialing 1-800-642-1687 or 1-706-645-9291 and entering “76203256” from two hours after the end of the call until 11:59 p.m. (ET) on August 16, 2011. The replay will also be available on the EXL website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 xml:space="preserve">ExlService Holdings, Inc. (NASDAQ: EXLS) is a leading provider of outsourcing and transformation services. EXL primarily serves the needs of Global 1000 companies from global delivery centers in the insurance,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risk and financial management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1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by ExlService Holdings, Inc. (the “Company”).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96,217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22,862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44,802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29,859,811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29,231,812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29,740,676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29,181,036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31,043,426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30,201,092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30,912,021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30,180,283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80" w:type="dxa"/>
            <w:vAlign w:val="bottom"/>
          </w:tcPr>
          <w:p>
            <w:pPr>
              <w:jc w:val="right"/>
              <w:ind w:right="49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$118 at June 30, 2011 and $246 at December 31, 2010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55,382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157,762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45,529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99,299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385,404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30,049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24,752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111,697</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5"/>
              </w:rPr>
              <w:t>Common stock, $0.001 par value; 100,000,000 shares authorized, 30,312,901 shares issued and 29,989,504 shares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w w:val="91"/>
              </w:rPr>
              <w:t>outstanding as of June 30, 2011 and 29,690,463 shares issued and 29,437,961 shares outstanding as of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ind w:left="6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144,878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129,102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276,399</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Less: 323,397 shares as of June 30, 2011 and 252,502 shares as of December 31, 2010, held in treasury, at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ExlService Holdings, Inc. stockholders’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273,687</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273,707</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248,546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385,404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305,683</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three items which do not directly link to the Company’s ongoing performance: (i) stock-based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flows from operations. Adjusted EBITDA does not represent cash flows from operations as defined by GAAP.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quarter ended June 30, 2011, June 30,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jc w:val="right"/>
              <w:ind w:right="920"/>
              <w:spacing w:after="0" w:line="149"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add: Income tax provision and Other income/(expense)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9,408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13,200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8,196</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i w:val="1"/>
                <w:iCs w:val="1"/>
                <w:color w:val="auto"/>
              </w:rPr>
              <w:t>15.5%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13.5%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14.3%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w w:val="83"/>
              </w:rPr>
              <w:t>17,397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11,533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8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12"/>
              <w:spacing w:after="0"/>
              <w:rPr>
                <w:sz w:val="20"/>
                <w:szCs w:val="20"/>
                <w:color w:val="auto"/>
              </w:rPr>
            </w:pPr>
            <w:r>
              <w:rPr>
                <w:rFonts w:ascii="Arial" w:cs="Arial" w:eastAsia="Arial" w:hAnsi="Arial"/>
                <w:sz w:val="18"/>
                <w:szCs w:val="18"/>
                <w:i w:val="1"/>
                <w:iCs w:val="1"/>
                <w:color w:val="auto"/>
              </w:rPr>
              <w:t>20.5%</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19.0%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20.0%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0" w:name="page11"/>
    <w:bookmarkEnd w:id="1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w:t>
            </w:r>
          </w:p>
        </w:tc>
      </w:tr>
      <w:tr>
        <w:trPr>
          <w:trHeight w:val="149"/>
        </w:trPr>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7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79"/>
              </w:rPr>
              <w:t>4,869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8,361</w:t>
            </w:r>
          </w:p>
        </w:tc>
        <w:tc>
          <w:tcPr>
            <w:tcW w:w="100" w:type="dxa"/>
            <w:vAlign w:val="bottom"/>
            <w:shd w:val="clear" w:color="auto" w:fill="CCEEFF"/>
          </w:tcPr>
          <w:p>
            <w:pPr>
              <w:spacing w:after="0"/>
              <w:rPr>
                <w:sz w:val="18"/>
                <w:szCs w:val="18"/>
                <w:color w:val="auto"/>
              </w:rPr>
            </w:pPr>
          </w:p>
        </w:tc>
      </w:tr>
      <w:tr>
        <w:trPr>
          <w:trHeight w:val="322"/>
        </w:trPr>
        <w:tc>
          <w:tcPr>
            <w:tcW w:w="728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2,404</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2,248</w:t>
            </w:r>
          </w:p>
        </w:tc>
      </w:tr>
      <w:tr>
        <w:trPr>
          <w:trHeight w:val="110"/>
        </w:trPr>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r>
      <w:tr>
        <w:trPr>
          <w:trHeight w:val="322"/>
        </w:trPr>
        <w:tc>
          <w:tcPr>
            <w:tcW w:w="728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100" w:type="dxa"/>
            <w:vAlign w:val="bottom"/>
          </w:tcPr>
          <w:p>
            <w:pPr>
              <w:spacing w:after="0"/>
              <w:rPr>
                <w:sz w:val="24"/>
                <w:szCs w:val="24"/>
                <w:color w:val="auto"/>
              </w:rPr>
            </w:pPr>
          </w:p>
        </w:tc>
        <w:tc>
          <w:tcPr>
            <w:tcW w:w="1060" w:type="dxa"/>
            <w:vAlign w:val="bottom"/>
            <w:gridSpan w:val="2"/>
          </w:tcPr>
          <w:p>
            <w:pPr>
              <w:jc w:val="right"/>
              <w:ind w:right="452"/>
              <w:spacing w:after="0"/>
              <w:rPr>
                <w:sz w:val="20"/>
                <w:szCs w:val="20"/>
                <w:color w:val="auto"/>
              </w:rPr>
            </w:pPr>
            <w:r>
              <w:rPr>
                <w:rFonts w:ascii="Arial" w:cs="Arial" w:eastAsia="Arial" w:hAnsi="Arial"/>
                <w:sz w:val="18"/>
                <w:szCs w:val="18"/>
                <w:color w:val="auto"/>
                <w:w w:val="91"/>
              </w:rPr>
              <w:t>(1,125)</w:t>
            </w:r>
          </w:p>
        </w:tc>
        <w:tc>
          <w:tcPr>
            <w:tcW w:w="12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r>
      <w:tr>
        <w:trPr>
          <w:trHeight w:val="110"/>
        </w:trPr>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10,936</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7,077</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10,087</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0.23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0.33</w:t>
            </w:r>
          </w:p>
        </w:tc>
      </w:tr>
    </w:tbl>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2019-12-11T00:17:16Z</dcterms:created>
  <dcterms:modified xsi:type="dcterms:W3CDTF">2019-12-11T00:17:16Z</dcterms:modified>
</cp:coreProperties>
</file>