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6"/>
          <w:szCs w:val="16"/>
          <w:color w:val="0000FF"/>
        </w:rPr>
        <w:t>VP, Head - Transformation Svcs</w:t>
      </w:r>
    </w:p>
    <w:p>
      <w:pPr>
        <w:spacing w:after="0" w:line="429"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9"/>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40" w:type="dxa"/>
            <w:vAlign w:val="bottom"/>
            <w:gridSpan w:val="8"/>
          </w:tcPr>
          <w:p>
            <w:pPr>
              <w:ind w:left="3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gridSpan w:val="4"/>
          </w:tcPr>
          <w:p>
            <w:pPr>
              <w:ind w:left="380"/>
              <w:spacing w:after="0"/>
              <w:rPr>
                <w:sz w:val="20"/>
                <w:szCs w:val="20"/>
                <w:color w:val="auto"/>
              </w:rPr>
            </w:pPr>
            <w:r>
              <w:rPr>
                <w:rFonts w:ascii="Arial" w:cs="Arial" w:eastAsia="Arial" w:hAnsi="Arial"/>
                <w:sz w:val="14"/>
                <w:szCs w:val="14"/>
                <w:color w:val="auto"/>
              </w:rPr>
              <w:t>Line)</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7"/>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600" w:type="dxa"/>
            <w:vAlign w:val="bottom"/>
            <w:vMerge w:val="restart"/>
          </w:tcPr>
          <w:p>
            <w:pPr>
              <w:ind w:left="2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6"/>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8"/>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04/24/2009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400</w:t>
            </w:r>
            <w:r>
              <w:rPr>
                <w:rFonts w:ascii="Arial" w:cs="Arial" w:eastAsia="Arial" w:hAnsi="Arial"/>
                <w:sz w:val="22"/>
                <w:szCs w:val="22"/>
                <w:color w:val="008000"/>
                <w:vertAlign w:val="superscript"/>
              </w:rPr>
              <w:t>(1)</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04/24/2009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97"/>
              <w:spacing w:after="0"/>
              <w:rPr>
                <w:sz w:val="20"/>
                <w:szCs w:val="20"/>
                <w:color w:val="auto"/>
              </w:rPr>
            </w:pPr>
            <w:r>
              <w:rPr>
                <w:rFonts w:ascii="Arial" w:cs="Arial" w:eastAsia="Arial" w:hAnsi="Arial"/>
                <w:sz w:val="14"/>
                <w:szCs w:val="14"/>
                <w:color w:val="0000FF"/>
              </w:rPr>
              <w:t>F</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130</w:t>
            </w: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9.36</w:t>
            </w:r>
            <w:r>
              <w:rPr>
                <w:rFonts w:ascii="Arial" w:cs="Arial" w:eastAsia="Arial" w:hAnsi="Arial"/>
                <w:sz w:val="22"/>
                <w:szCs w:val="22"/>
                <w:color w:val="008000"/>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270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7"/>
          </w:tcPr>
          <w:p>
            <w:pPr>
              <w:jc w:val="center"/>
              <w:ind w:left="9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4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vMerge w:val="restart"/>
          </w:tcPr>
          <w:p>
            <w:pPr>
              <w:jc w:val="right"/>
              <w:ind w:right="217"/>
              <w:spacing w:after="0"/>
              <w:rPr>
                <w:sz w:val="20"/>
                <w:szCs w:val="20"/>
                <w:color w:val="auto"/>
              </w:rPr>
            </w:pPr>
            <w:r>
              <w:rPr>
                <w:rFonts w:ascii="Arial" w:cs="Arial" w:eastAsia="Arial" w:hAnsi="Arial"/>
                <w:sz w:val="11"/>
                <w:szCs w:val="11"/>
                <w:color w:val="008000"/>
              </w:rPr>
              <w:t>(4)</w:t>
            </w:r>
          </w:p>
        </w:tc>
        <w:tc>
          <w:tcPr>
            <w:tcW w:w="32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400</w:t>
            </w:r>
          </w:p>
        </w:tc>
        <w:tc>
          <w:tcPr>
            <w:tcW w:w="40" w:type="dxa"/>
            <w:vAlign w:val="bottom"/>
          </w:tcPr>
          <w:p>
            <w:pPr>
              <w:spacing w:after="0"/>
              <w:rPr>
                <w:sz w:val="12"/>
                <w:szCs w:val="12"/>
                <w:color w:val="auto"/>
              </w:rPr>
            </w:pPr>
          </w:p>
        </w:tc>
        <w:tc>
          <w:tcPr>
            <w:tcW w:w="6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04/24/2009</w:t>
            </w: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right"/>
              <w:ind w:right="312"/>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5"/>
                <w:szCs w:val="5"/>
                <w:color w:val="auto"/>
              </w:rPr>
            </w:pPr>
          </w:p>
        </w:tc>
        <w:tc>
          <w:tcPr>
            <w:tcW w:w="82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400</w:t>
            </w: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vMerge w:val="restart"/>
          </w:tcPr>
          <w:p>
            <w:pPr>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0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3,600</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6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2009, ExlService Holdings, Inc. (the "Company") issued 400 shares of common stock, par value $0.001 per share,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1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24, 2009.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 percent of the shares of restricted stock vested on April 24, 2009; an additional 20 percent of the shares of restricted stock will vest on April 24, 2010; an additional 30 percent of the shares of restricted stock will vest on April 24, 2011; and the remaining 40 percent of the shares of restricted stock will vest on April 24,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04/28/2009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2019-12-16T14:45:51Z</dcterms:created>
  <dcterms:modified xsi:type="dcterms:W3CDTF">2019-12-16T14:45:51Z</dcterms:modified>
</cp:coreProperties>
</file>