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31, 2013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6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13d-1(c)</w:t>
      </w:r>
    </w:p>
    <w:p>
      <w:pPr>
        <w:spacing w:after="0" w:line="6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13d-1(d)</w:t>
      </w:r>
    </w:p>
    <w:p>
      <w:pPr>
        <w:spacing w:after="0" w:line="27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920" w:right="8380" w:hanging="459"/>
        <w:spacing w:after="0" w:line="342" w:lineRule="auto"/>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Lord, Abbett &amp; Co. LLC</w:t>
      </w:r>
    </w:p>
    <w:p>
      <w:pPr>
        <w:spacing w:after="0" w:line="339" w:lineRule="exact"/>
        <w:rPr>
          <w:rFonts w:ascii="Arial" w:cs="Arial" w:eastAsia="Arial" w:hAnsi="Arial"/>
          <w:sz w:val="16"/>
          <w:szCs w:val="16"/>
          <w:color w:val="auto"/>
        </w:rPr>
      </w:pPr>
    </w:p>
    <w:p>
      <w:pPr>
        <w:ind w:left="920" w:hanging="459"/>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1380" w:hanging="460"/>
        <w:spacing w:after="0"/>
        <w:tabs>
          <w:tab w:leader="none" w:pos="13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380" w:hanging="460"/>
        <w:spacing w:after="0"/>
        <w:tabs>
          <w:tab w:leader="none" w:pos="13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459"/>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right="7820" w:hanging="459"/>
        <w:spacing w:after="0" w:line="277"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14605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-534035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-945515</wp:posOffset>
            </wp:positionV>
            <wp:extent cx="6371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-1159510</wp:posOffset>
            </wp:positionV>
            <wp:extent cx="6371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-1777365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94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60" w:type="dxa"/>
            <w:vAlign w:val="bottom"/>
          </w:tcPr>
          <w:p>
            <w:pPr>
              <w:ind w:left="40"/>
              <w:spacing w:after="0"/>
              <w:rPr>
                <w:sz w:val="20"/>
                <w:szCs w:val="20"/>
                <w:color w:val="auto"/>
              </w:rPr>
            </w:pPr>
            <w:r>
              <w:rPr>
                <w:rFonts w:ascii="Arial" w:cs="Arial" w:eastAsia="Arial" w:hAnsi="Arial"/>
                <w:sz w:val="18"/>
                <w:szCs w:val="18"/>
                <w:color w:val="auto"/>
              </w:rPr>
              <w:t>1,260,800</w:t>
            </w:r>
          </w:p>
        </w:tc>
        <w:tc>
          <w:tcPr>
            <w:tcW w:w="0" w:type="dxa"/>
            <w:vAlign w:val="bottom"/>
          </w:tcPr>
          <w:p>
            <w:pPr>
              <w:spacing w:after="0"/>
              <w:rPr>
                <w:sz w:val="1"/>
                <w:szCs w:val="1"/>
                <w:color w:val="auto"/>
              </w:rPr>
            </w:pPr>
          </w:p>
        </w:tc>
      </w:tr>
      <w:tr>
        <w:trPr>
          <w:trHeight w:val="54"/>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180" w:type="dxa"/>
            <w:vAlign w:val="bottom"/>
            <w:vMerge w:val="continue"/>
          </w:tcPr>
          <w:p>
            <w:pPr>
              <w:spacing w:after="0"/>
              <w:rPr>
                <w:sz w:val="24"/>
                <w:szCs w:val="24"/>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1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720" w:type="dxa"/>
            <w:vAlign w:val="bottom"/>
            <w:vMerge w:val="continue"/>
          </w:tcPr>
          <w:p>
            <w:pPr>
              <w:spacing w:after="0"/>
              <w:rPr>
                <w:sz w:val="9"/>
                <w:szCs w:val="9"/>
                <w:color w:val="auto"/>
              </w:rPr>
            </w:pPr>
          </w:p>
        </w:tc>
        <w:tc>
          <w:tcPr>
            <w:tcW w:w="9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1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10"/>
                <w:szCs w:val="10"/>
                <w:color w:val="auto"/>
              </w:rPr>
            </w:pP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2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94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4"/>
        </w:trPr>
        <w:tc>
          <w:tcPr>
            <w:tcW w:w="1180" w:type="dxa"/>
            <w:vAlign w:val="bottom"/>
          </w:tcPr>
          <w:p>
            <w:pPr>
              <w:spacing w:after="0" w:line="124" w:lineRule="exact"/>
              <w:rPr>
                <w:sz w:val="20"/>
                <w:szCs w:val="20"/>
                <w:color w:val="auto"/>
              </w:rPr>
            </w:pPr>
            <w:r>
              <w:rPr>
                <w:rFonts w:ascii="Arial" w:cs="Arial" w:eastAsia="Arial" w:hAnsi="Arial"/>
                <w:sz w:val="14"/>
                <w:szCs w:val="14"/>
                <w:color w:val="auto"/>
              </w:rPr>
              <w:t>Reporting</w:t>
            </w:r>
          </w:p>
        </w:tc>
        <w:tc>
          <w:tcPr>
            <w:tcW w:w="720" w:type="dxa"/>
            <w:vAlign w:val="bottom"/>
            <w:vMerge w:val="continue"/>
          </w:tcPr>
          <w:p>
            <w:pPr>
              <w:spacing w:after="0"/>
              <w:rPr>
                <w:sz w:val="10"/>
                <w:szCs w:val="10"/>
                <w:color w:val="auto"/>
              </w:rPr>
            </w:pP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9460" w:type="dxa"/>
            <w:vAlign w:val="bottom"/>
          </w:tcPr>
          <w:p>
            <w:pPr>
              <w:jc w:val="right"/>
              <w:ind w:right="8610"/>
              <w:spacing w:after="0"/>
              <w:rPr>
                <w:sz w:val="20"/>
                <w:szCs w:val="20"/>
                <w:color w:val="auto"/>
              </w:rPr>
            </w:pPr>
            <w:r>
              <w:rPr>
                <w:rFonts w:ascii="Arial" w:cs="Arial" w:eastAsia="Arial" w:hAnsi="Arial"/>
                <w:sz w:val="18"/>
                <w:szCs w:val="18"/>
                <w:color w:val="auto"/>
                <w:w w:val="92"/>
              </w:rPr>
              <w:t>1,284,005</w:t>
            </w:r>
          </w:p>
        </w:tc>
        <w:tc>
          <w:tcPr>
            <w:tcW w:w="0" w:type="dxa"/>
            <w:vAlign w:val="bottom"/>
          </w:tcPr>
          <w:p>
            <w:pPr>
              <w:spacing w:after="0"/>
              <w:rPr>
                <w:sz w:val="1"/>
                <w:szCs w:val="1"/>
                <w:color w:val="auto"/>
              </w:rPr>
            </w:pPr>
          </w:p>
        </w:tc>
      </w:tr>
      <w:tr>
        <w:trPr>
          <w:trHeight w:val="38"/>
        </w:trPr>
        <w:tc>
          <w:tcPr>
            <w:tcW w:w="1900" w:type="dxa"/>
            <w:vAlign w:val="bottom"/>
            <w:vMerge w:val="continue"/>
          </w:tcPr>
          <w:p>
            <w:pPr>
              <w:spacing w:after="0"/>
              <w:rPr>
                <w:sz w:val="3"/>
                <w:szCs w:val="3"/>
                <w:color w:val="auto"/>
              </w:rPr>
            </w:pPr>
          </w:p>
        </w:tc>
        <w:tc>
          <w:tcPr>
            <w:tcW w:w="9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940" w:right="7540" w:hanging="452"/>
        <w:spacing w:after="0" w:line="277" w:lineRule="auto"/>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20" w:right="5640" w:hanging="459"/>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1,284,005</w:t>
      </w:r>
    </w:p>
    <w:p>
      <w:pPr>
        <w:spacing w:after="0" w:line="386" w:lineRule="exact"/>
        <w:rPr>
          <w:rFonts w:ascii="Arial" w:cs="Arial" w:eastAsia="Arial" w:hAnsi="Arial"/>
          <w:sz w:val="18"/>
          <w:szCs w:val="18"/>
          <w:color w:val="auto"/>
        </w:rPr>
      </w:pPr>
    </w:p>
    <w:p>
      <w:pPr>
        <w:ind w:left="920" w:hanging="459"/>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 N/A</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right="6660" w:hanging="459"/>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3.92%</w:t>
      </w:r>
    </w:p>
    <w:p>
      <w:pPr>
        <w:spacing w:after="0" w:line="386" w:lineRule="exact"/>
        <w:rPr>
          <w:rFonts w:ascii="Arial" w:cs="Arial" w:eastAsia="Arial" w:hAnsi="Arial"/>
          <w:sz w:val="18"/>
          <w:szCs w:val="18"/>
          <w:color w:val="auto"/>
        </w:rPr>
      </w:pPr>
    </w:p>
    <w:p>
      <w:pPr>
        <w:ind w:left="920" w:hanging="459"/>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-2026285</wp:posOffset>
            </wp:positionV>
            <wp:extent cx="6011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40005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-508000</wp:posOffset>
            </wp:positionV>
            <wp:extent cx="6663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-1057275</wp:posOffset>
            </wp:positionV>
            <wp:extent cx="6663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-1468755</wp:posOffset>
            </wp:positionV>
            <wp:extent cx="6663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3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152400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300" w:top="46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380" w:right="8140" w:hanging="460"/>
        <w:spacing w:after="0" w:line="342" w:lineRule="auto"/>
        <w:tabs>
          <w:tab w:leader="none" w:pos="1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Exlservice Holdings, Inc.</w:t>
      </w:r>
    </w:p>
    <w:p>
      <w:pPr>
        <w:spacing w:after="0" w:line="29" w:lineRule="exact"/>
        <w:rPr>
          <w:rFonts w:ascii="Arial" w:cs="Arial" w:eastAsia="Arial" w:hAnsi="Arial"/>
          <w:sz w:val="16"/>
          <w:szCs w:val="16"/>
          <w:color w:val="auto"/>
        </w:rPr>
      </w:pPr>
    </w:p>
    <w:p>
      <w:pPr>
        <w:ind w:left="1380" w:right="6540" w:hanging="460"/>
        <w:spacing w:after="0" w:line="212"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38735</wp:posOffset>
            </wp:positionV>
            <wp:extent cx="63715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-474980</wp:posOffset>
            </wp:positionV>
            <wp:extent cx="63715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380" w:right="8160" w:hanging="460"/>
        <w:spacing w:after="0" w:line="308" w:lineRule="auto"/>
        <w:tabs>
          <w:tab w:leader="none" w:pos="1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 of Person Filing Lord, Abbett &amp; Co. LLC</w:t>
      </w:r>
    </w:p>
    <w:p>
      <w:pPr>
        <w:spacing w:after="0" w:line="51" w:lineRule="exact"/>
        <w:rPr>
          <w:rFonts w:ascii="Arial" w:cs="Arial" w:eastAsia="Arial" w:hAnsi="Arial"/>
          <w:sz w:val="17"/>
          <w:szCs w:val="17"/>
          <w:color w:val="auto"/>
        </w:rPr>
      </w:pPr>
    </w:p>
    <w:p>
      <w:pPr>
        <w:ind w:left="1380" w:right="5680" w:hanging="460"/>
        <w:spacing w:after="0" w:line="258"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90 Hudson Street</w:t>
      </w:r>
    </w:p>
    <w:p>
      <w:pPr>
        <w:spacing w:after="0" w:line="1"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Jersey City, NJ 07302.</w:t>
      </w:r>
    </w:p>
    <w:p>
      <w:pPr>
        <w:spacing w:after="0" w:line="116" w:lineRule="exact"/>
        <w:rPr>
          <w:rFonts w:ascii="Arial" w:cs="Arial" w:eastAsia="Arial" w:hAnsi="Arial"/>
          <w:sz w:val="18"/>
          <w:szCs w:val="18"/>
          <w:color w:val="auto"/>
        </w:rPr>
      </w:pPr>
    </w:p>
    <w:p>
      <w:pPr>
        <w:ind w:left="1380" w:hanging="460"/>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See No. 4 on page 2.</w:t>
      </w:r>
    </w:p>
    <w:p>
      <w:pPr>
        <w:spacing w:after="0" w:line="116" w:lineRule="exact"/>
        <w:rPr>
          <w:rFonts w:ascii="Arial" w:cs="Arial" w:eastAsia="Arial" w:hAnsi="Arial"/>
          <w:sz w:val="18"/>
          <w:szCs w:val="18"/>
          <w:color w:val="auto"/>
        </w:rPr>
      </w:pPr>
    </w:p>
    <w:p>
      <w:pPr>
        <w:ind w:left="1380" w:right="8040" w:hanging="460"/>
        <w:spacing w:after="0" w:line="342" w:lineRule="auto"/>
        <w:tabs>
          <w:tab w:leader="none" w:pos="1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Class of Securities See cover page.</w:t>
      </w:r>
    </w:p>
    <w:p>
      <w:pPr>
        <w:spacing w:after="0" w:line="29" w:lineRule="exact"/>
        <w:rPr>
          <w:rFonts w:ascii="Arial" w:cs="Arial" w:eastAsia="Arial" w:hAnsi="Arial"/>
          <w:sz w:val="16"/>
          <w:szCs w:val="16"/>
          <w:color w:val="auto"/>
        </w:rPr>
      </w:pPr>
    </w:p>
    <w:p>
      <w:pPr>
        <w:jc w:val="both"/>
        <w:ind w:left="1380" w:right="8820" w:hanging="460"/>
        <w:spacing w:after="0" w:line="381" w:lineRule="auto"/>
        <w:tabs>
          <w:tab w:leader="none" w:pos="1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CUSIP Number See cover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-29210</wp:posOffset>
            </wp:positionV>
            <wp:extent cx="63715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-381000</wp:posOffset>
            </wp:positionV>
            <wp:extent cx="63715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-732790</wp:posOffset>
            </wp:positionV>
            <wp:extent cx="63715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-1083945</wp:posOffset>
            </wp:positionV>
            <wp:extent cx="63715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-1572895</wp:posOffset>
            </wp:positionV>
            <wp:extent cx="63715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320" w:hanging="400"/>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130" w:lineRule="exact"/>
        <w:rPr>
          <w:rFonts w:ascii="Arial" w:cs="Arial" w:eastAsia="Arial" w:hAnsi="Arial"/>
          <w:sz w:val="18"/>
          <w:szCs w:val="18"/>
          <w:color w:val="auto"/>
        </w:rPr>
      </w:pPr>
    </w:p>
    <w:p>
      <w:pPr>
        <w:ind w:left="1320" w:hanging="400"/>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130" w:lineRule="exact"/>
        <w:rPr>
          <w:rFonts w:ascii="Arial" w:cs="Arial" w:eastAsia="Arial" w:hAnsi="Arial"/>
          <w:sz w:val="18"/>
          <w:szCs w:val="18"/>
          <w:color w:val="auto"/>
        </w:rPr>
      </w:pPr>
    </w:p>
    <w:p>
      <w:pPr>
        <w:ind w:left="1320" w:hanging="400"/>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130" w:lineRule="exact"/>
        <w:rPr>
          <w:rFonts w:ascii="Arial" w:cs="Arial" w:eastAsia="Arial" w:hAnsi="Arial"/>
          <w:sz w:val="18"/>
          <w:szCs w:val="18"/>
          <w:color w:val="auto"/>
        </w:rPr>
      </w:pPr>
    </w:p>
    <w:p>
      <w:pPr>
        <w:ind w:left="1320" w:hanging="400"/>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1320" w:hanging="400"/>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30" w:lineRule="exact"/>
        <w:rPr>
          <w:rFonts w:ascii="Arial" w:cs="Arial" w:eastAsia="Arial" w:hAnsi="Arial"/>
          <w:sz w:val="18"/>
          <w:szCs w:val="18"/>
          <w:color w:val="auto"/>
        </w:rPr>
      </w:pPr>
    </w:p>
    <w:p>
      <w:pPr>
        <w:ind w:left="1320" w:hanging="400"/>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130" w:lineRule="exact"/>
        <w:rPr>
          <w:rFonts w:ascii="Arial" w:cs="Arial" w:eastAsia="Arial" w:hAnsi="Arial"/>
          <w:sz w:val="18"/>
          <w:szCs w:val="18"/>
          <w:color w:val="auto"/>
        </w:rPr>
      </w:pPr>
    </w:p>
    <w:p>
      <w:pPr>
        <w:ind w:left="1320" w:hanging="400"/>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130" w:lineRule="exact"/>
        <w:rPr>
          <w:rFonts w:ascii="Arial" w:cs="Arial" w:eastAsia="Arial" w:hAnsi="Arial"/>
          <w:sz w:val="18"/>
          <w:szCs w:val="18"/>
          <w:color w:val="auto"/>
        </w:rPr>
      </w:pPr>
    </w:p>
    <w:p>
      <w:pPr>
        <w:ind w:left="1320" w:hanging="400"/>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130" w:lineRule="exact"/>
        <w:rPr>
          <w:rFonts w:ascii="Arial" w:cs="Arial" w:eastAsia="Arial" w:hAnsi="Arial"/>
          <w:sz w:val="18"/>
          <w:szCs w:val="18"/>
          <w:color w:val="auto"/>
        </w:rPr>
      </w:pPr>
    </w:p>
    <w:p>
      <w:pPr>
        <w:ind w:left="1780" w:hanging="860"/>
        <w:spacing w:after="0" w:line="277" w:lineRule="auto"/>
        <w:tabs>
          <w:tab w:leader="none" w:pos="1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75" w:lineRule="exact"/>
        <w:rPr>
          <w:rFonts w:ascii="Arial" w:cs="Arial" w:eastAsia="Arial" w:hAnsi="Arial"/>
          <w:sz w:val="18"/>
          <w:szCs w:val="18"/>
          <w:color w:val="auto"/>
        </w:rPr>
      </w:pPr>
    </w:p>
    <w:p>
      <w:pPr>
        <w:ind w:left="1320" w:hanging="400"/>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130" w:lineRule="exact"/>
        <w:rPr>
          <w:rFonts w:ascii="Arial" w:cs="Arial" w:eastAsia="Arial" w:hAnsi="Arial"/>
          <w:sz w:val="18"/>
          <w:szCs w:val="18"/>
          <w:color w:val="auto"/>
        </w:rPr>
      </w:pPr>
    </w:p>
    <w:p>
      <w:pPr>
        <w:ind w:left="1780" w:right="160" w:hanging="860"/>
        <w:spacing w:after="0" w:line="277" w:lineRule="auto"/>
        <w:tabs>
          <w:tab w:leader="none" w:pos="1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oGroup, in accordance with § 240.13d–1(b)(1)(ii)(K). If filing as a non-U.S. institution in accordance with § 240.13d–1(b)(1)(ii)(J), please specify the type of institution:____________________________</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152400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300" w:top="459" w:right="25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380" w:right="7840" w:hanging="384"/>
        <w:spacing w:after="0" w:line="431" w:lineRule="auto"/>
        <w:tabs>
          <w:tab w:leader="none" w:pos="1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 beneficially owned: See No. 9 on page 2.</w:t>
      </w:r>
    </w:p>
    <w:p>
      <w:pPr>
        <w:spacing w:after="0" w:line="14" w:lineRule="exact"/>
        <w:rPr>
          <w:rFonts w:ascii="Arial" w:cs="Arial" w:eastAsia="Arial" w:hAnsi="Arial"/>
          <w:sz w:val="16"/>
          <w:szCs w:val="16"/>
          <w:color w:val="auto"/>
        </w:rPr>
      </w:pPr>
    </w:p>
    <w:p>
      <w:pPr>
        <w:ind w:left="1380" w:hanging="389"/>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30"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See No. 11 on page 2.</w:t>
      </w:r>
    </w:p>
    <w:p>
      <w:pPr>
        <w:spacing w:after="0" w:line="130" w:lineRule="exact"/>
        <w:rPr>
          <w:rFonts w:ascii="Arial" w:cs="Arial" w:eastAsia="Arial" w:hAnsi="Arial"/>
          <w:sz w:val="18"/>
          <w:szCs w:val="18"/>
          <w:color w:val="auto"/>
        </w:rPr>
      </w:pPr>
    </w:p>
    <w:p>
      <w:pPr>
        <w:ind w:left="1380" w:hanging="38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220980</wp:posOffset>
            </wp:positionV>
            <wp:extent cx="6371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-164465</wp:posOffset>
            </wp:positionV>
            <wp:extent cx="63715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-593090</wp:posOffset>
            </wp:positionV>
            <wp:extent cx="63715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381" w:lineRule="exact"/>
        <w:rPr>
          <w:sz w:val="20"/>
          <w:szCs w:val="20"/>
          <w:color w:val="auto"/>
        </w:rPr>
      </w:pPr>
    </w:p>
    <w:p>
      <w:pPr>
        <w:ind w:left="1840" w:right="6640" w:hanging="370"/>
        <w:spacing w:after="0" w:line="383" w:lineRule="auto"/>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See No. 5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-24130</wp:posOffset>
            </wp:positionV>
            <wp:extent cx="60801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ind w:left="1840" w:right="6460" w:hanging="395"/>
        <w:spacing w:after="0" w:line="383" w:lineRule="auto"/>
        <w:tabs>
          <w:tab w:leader="none" w:pos="1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See No. 6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-24130</wp:posOffset>
            </wp:positionV>
            <wp:extent cx="6080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ind w:left="1840" w:right="5720" w:hanging="420"/>
        <w:spacing w:after="0" w:line="383" w:lineRule="auto"/>
        <w:tabs>
          <w:tab w:leader="none" w:pos="1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No. 7 on page 2.</w:t>
      </w:r>
    </w:p>
    <w:p>
      <w:pPr>
        <w:spacing w:after="0" w:line="14" w:lineRule="exact"/>
        <w:rPr>
          <w:rFonts w:ascii="Arial" w:cs="Arial" w:eastAsia="Arial" w:hAnsi="Arial"/>
          <w:sz w:val="18"/>
          <w:szCs w:val="18"/>
          <w:color w:val="auto"/>
        </w:rPr>
      </w:pPr>
    </w:p>
    <w:p>
      <w:pPr>
        <w:ind w:left="1840" w:right="5540" w:hanging="415"/>
        <w:spacing w:after="0" w:line="418" w:lineRule="auto"/>
        <w:tabs>
          <w:tab w:leader="none" w:pos="1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No. 8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-62230</wp:posOffset>
            </wp:positionV>
            <wp:extent cx="6080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1133475</wp:posOffset>
            </wp:positionH>
            <wp:positionV relativeFrom="paragraph">
              <wp:posOffset>-490855</wp:posOffset>
            </wp:positionV>
            <wp:extent cx="6080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9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Securities reported on this Schedule 13G as being beneficially owned by Lord, Abbett &amp; Co. LLC are held on behalf on investment advisory clients, which may include investment companies registered under the Investment Company Act, employee benefit plans, pension funds or other institutional clients.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920" w:right="20" w:hanging="917"/>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152400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300" w:top="459" w:right="319" w:bottom="1440" w:gutter="0" w:footer="0" w:header="0"/>
        </w:sectPr>
      </w:pPr>
    </w:p>
    <w:bookmarkStart w:id="4" w:name="page5"/>
    <w:bookmarkEnd w:id="4"/>
    <w:p>
      <w:pPr>
        <w:ind w:left="60"/>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78"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September 10, 2013</w:t>
      </w:r>
    </w:p>
    <w:p>
      <w:pPr>
        <w:spacing w:after="0" w:line="2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Lawrence H. Kaplan</w:t>
      </w:r>
    </w:p>
    <w:p>
      <w:pPr>
        <w:spacing w:after="0" w:line="9"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Lawrence H. Kaplan/Member</w:t>
      </w:r>
    </w:p>
    <w:p>
      <w:pPr>
        <w:spacing w:after="0" w:line="9"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20"/>
      </w:cols>
      <w:pgMar w:left="24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S"/>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1"/>
    </w:lvl>
    <w:lvl w:ilvl="1">
      <w:lvlJc w:val="left"/>
      <w:lvlText w:val="%2."/>
      <w:numFmt w:val="decimal"/>
      <w:start w:val="8"/>
    </w:lvl>
  </w:abstractNum>
  <w:abstractNum w:abstractNumId="3">
    <w:nsid w:val="79E2A9E3"/>
    <w:multiLevelType w:val="hybridMultilevel"/>
    <w:lvl w:ilvl="0">
      <w:lvlJc w:val="left"/>
      <w:lvlText w:val="%1."/>
      <w:numFmt w:val="decimal"/>
      <w:start w:val="9"/>
    </w:lvl>
    <w:lvl w:ilvl="1">
      <w:lvlJc w:val="left"/>
      <w:lvlText w:val="%2"/>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2019-12-07T08:20:17Z</dcterms:created>
  <dcterms:modified xsi:type="dcterms:W3CDTF">2019-12-07T08:20:17Z</dcterms:modified>
</cp:coreProperties>
</file>