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4)</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302081 10 4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(Date of Event Which Requires Filing of this Statement)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[_] Rule 13d-1(b)</w:t>
      </w:r>
    </w:p>
    <w:p>
      <w:pPr>
        <w:spacing w:after="0" w:line="279"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[_] Rule 13d-1(c)</w:t>
      </w:r>
    </w:p>
    <w:p>
      <w:pPr>
        <w:spacing w:after="0" w:line="279" w:lineRule="exact"/>
        <w:rPr>
          <w:sz w:val="24"/>
          <w:szCs w:val="24"/>
          <w:color w:val="auto"/>
        </w:rPr>
      </w:pPr>
    </w:p>
    <w:p>
      <w:pPr>
        <w:ind w:left="2240" w:hanging="287"/>
        <w:spacing w:after="0"/>
        <w:tabs>
          <w:tab w:leader="none" w:pos="224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rFonts w:ascii="Arial" w:cs="Arial" w:eastAsia="Arial" w:hAnsi="Arial"/>
          <w:sz w:val="18"/>
          <w:szCs w:val="18"/>
          <w:color w:val="auto"/>
        </w:rPr>
      </w:pPr>
    </w:p>
    <w:p>
      <w:pPr>
        <w:ind w:left="660" w:right="60" w:hanging="648"/>
        <w:spacing w:after="0" w:line="30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person’s initial filing on this form with respect to the subject class of securities, and for any subsequent amendment containing information which would alter the disclosures provided in a prior cover page.</w:t>
      </w:r>
    </w:p>
    <w:p>
      <w:pPr>
        <w:spacing w:after="0" w:line="20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805815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26" w:right="259" w:bottom="1440" w:gutter="0" w:footer="0" w:header="0"/>
        </w:sectPr>
      </w:pPr>
    </w:p>
    <w:bookmarkStart w:id="1" w:name="page2"/>
    <w:bookmarkEnd w:id="1"/>
    <w:p>
      <w:pPr>
        <w:ind w:left="40"/>
        <w:spacing w:after="0"/>
        <w:rPr>
          <w:sz w:val="20"/>
          <w:szCs w:val="20"/>
          <w:color w:val="auto"/>
        </w:rPr>
      </w:pPr>
      <w:r>
        <w:rPr>
          <w:rFonts w:ascii="Arial" w:cs="Arial" w:eastAsia="Arial" w:hAnsi="Arial"/>
          <w:sz w:val="18"/>
          <w:szCs w:val="18"/>
          <w:color w:val="auto"/>
        </w:rPr>
        <w:t>CUSIP No. 302081 10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5436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7560" w:type="dxa"/>
            <w:vAlign w:val="bottom"/>
          </w:tcPr>
          <w:p>
            <w:pPr>
              <w:ind w:left="540"/>
              <w:spacing w:after="0"/>
              <w:rPr>
                <w:sz w:val="20"/>
                <w:szCs w:val="20"/>
                <w:color w:val="auto"/>
              </w:rPr>
            </w:pPr>
            <w:r>
              <w:rPr>
                <w:rFonts w:ascii="Arial" w:cs="Arial" w:eastAsia="Arial" w:hAnsi="Arial"/>
                <w:sz w:val="18"/>
                <w:szCs w:val="18"/>
                <w:color w:val="auto"/>
              </w:rPr>
              <w:t>NAME OF REPORTING PERSON</w:t>
            </w:r>
          </w:p>
        </w:tc>
        <w:tc>
          <w:tcPr>
            <w:tcW w:w="318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Rohit Kapoor</w:t>
            </w:r>
          </w:p>
        </w:tc>
        <w:tc>
          <w:tcPr>
            <w:tcW w:w="318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7560" w:type="dxa"/>
            <w:vAlign w:val="bottom"/>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3180" w:type="dxa"/>
            <w:vAlign w:val="bottom"/>
          </w:tcPr>
          <w:p>
            <w:pPr>
              <w:ind w:left="208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180" w:type="dxa"/>
            <w:vAlign w:val="bottom"/>
          </w:tcPr>
          <w:p>
            <w:pPr>
              <w:ind w:left="208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75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7560" w:type="dxa"/>
            <w:vAlign w:val="bottom"/>
          </w:tcPr>
          <w:p>
            <w:pPr>
              <w:ind w:left="540"/>
              <w:spacing w:after="0"/>
              <w:rPr>
                <w:sz w:val="20"/>
                <w:szCs w:val="20"/>
                <w:color w:val="auto"/>
              </w:rPr>
            </w:pPr>
            <w:r>
              <w:rPr>
                <w:rFonts w:ascii="Arial" w:cs="Arial" w:eastAsia="Arial" w:hAnsi="Arial"/>
                <w:sz w:val="18"/>
                <w:szCs w:val="18"/>
                <w:color w:val="auto"/>
              </w:rPr>
              <w:t>SEC USE ONLY</w:t>
            </w:r>
          </w:p>
        </w:tc>
        <w:tc>
          <w:tcPr>
            <w:tcW w:w="3180" w:type="dxa"/>
            <w:vAlign w:val="bottom"/>
          </w:tcPr>
          <w:p>
            <w:pPr>
              <w:spacing w:after="0"/>
              <w:rPr>
                <w:sz w:val="21"/>
                <w:szCs w:val="21"/>
                <w:color w:val="auto"/>
              </w:rPr>
            </w:pPr>
          </w:p>
        </w:tc>
      </w:tr>
    </w:tbl>
    <w:p>
      <w:pPr>
        <w:spacing w:after="0" w:line="200" w:lineRule="exact"/>
        <w:rPr>
          <w:sz w:val="20"/>
          <w:szCs w:val="20"/>
          <w:color w:val="auto"/>
        </w:rPr>
      </w:pPr>
    </w:p>
    <w:p>
      <w:pPr>
        <w:spacing w:after="0" w:line="299" w:lineRule="exact"/>
        <w:rPr>
          <w:sz w:val="20"/>
          <w:szCs w:val="20"/>
          <w:color w:val="auto"/>
        </w:rPr>
      </w:pPr>
    </w:p>
    <w:p>
      <w:pPr>
        <w:ind w:left="1220" w:hanging="1158"/>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2,007,847</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168,000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2,007,847</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2"/>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168,000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2,175,847</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3"/>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7.38%</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IN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ind w:left="3120"/>
              <w:spacing w:after="0"/>
              <w:rPr>
                <w:sz w:val="20"/>
                <w:szCs w:val="20"/>
                <w:color w:val="auto"/>
              </w:rPr>
            </w:pPr>
            <w:r>
              <w:rPr>
                <w:rFonts w:ascii="Arial" w:cs="Arial" w:eastAsia="Arial" w:hAnsi="Arial"/>
                <w:sz w:val="18"/>
                <w:szCs w:val="18"/>
                <w:color w:val="auto"/>
              </w:rPr>
              <w:t>2</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76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color w:val="auto"/>
        </w:rPr>
        <w:t>CUSIP No. 302081 10 4</w:t>
      </w:r>
    </w:p>
    <w:p>
      <w:pPr>
        <w:spacing w:after="0" w:line="30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SCHEDULE 13G</w:t>
      </w:r>
    </w:p>
    <w:p>
      <w:pPr>
        <w:spacing w:after="0" w:line="27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This Schedule 13G is filed by the undersigned with respect to the shares of Common Stock, par value $0.001 per share (the “Common Stock”), of ExlService Holdings, Inc. (the “Company”).</w:t>
      </w:r>
    </w:p>
    <w:p>
      <w:pPr>
        <w:spacing w:after="0" w:line="22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ExlService Holdings, Inc.</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280 Park Avenue</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New York, New York 10017</w:t>
      </w:r>
    </w:p>
    <w:p>
      <w:pPr>
        <w:spacing w:after="0" w:line="1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color w:val="auto"/>
        </w:rPr>
        <w:t>Name of Person Filing:</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Rohit Kapoor (“Mr. Kapoor”)</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color w:val="auto"/>
        </w:rPr>
        <w:t>Address of Principal Business Office or, if none, Residence of the Reporting Person:</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 ExlService Holdings, Inc.</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New York, New York 10017</w:t>
      </w:r>
    </w:p>
    <w:p>
      <w:pPr>
        <w:spacing w:after="0" w:line="1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6"/>
          <w:szCs w:val="16"/>
          <w:color w:val="auto"/>
        </w:rPr>
        <w:t>Citizenship:</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United States of America</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Common Stock, par value $0.001 per share</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302081 10 4</w:t>
      </w:r>
    </w:p>
    <w:p>
      <w:pPr>
        <w:spacing w:after="0" w:line="158"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This Schedule 13G Statement is not being filed pursuant to Rule 13d-1(b) or Rule 13d-2(b) or (c).</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58" w:lineRule="exact"/>
        <w:rPr>
          <w:sz w:val="20"/>
          <w:szCs w:val="20"/>
          <w:color w:val="auto"/>
        </w:rPr>
      </w:pPr>
    </w:p>
    <w:p>
      <w:pPr>
        <w:ind w:left="1480" w:right="80"/>
        <w:spacing w:after="0" w:line="277" w:lineRule="auto"/>
        <w:rPr>
          <w:sz w:val="20"/>
          <w:szCs w:val="20"/>
          <w:color w:val="auto"/>
        </w:rPr>
      </w:pPr>
      <w:r>
        <w:rPr>
          <w:rFonts w:ascii="Arial" w:cs="Arial" w:eastAsia="Arial" w:hAnsi="Arial"/>
          <w:sz w:val="18"/>
          <w:szCs w:val="18"/>
          <w:color w:val="auto"/>
        </w:rPr>
        <w:t>Mr. Kapoor directly beneficially owns 1,830,713 shares of Common Stock. In addition, Mr. Kapoor is the sole trustee of the Rohit Kapoor 2005 Grantor Retained Annuity Trust (the “Rohit</w:t>
      </w:r>
    </w:p>
    <w:p>
      <w:pPr>
        <w:spacing w:after="0" w:line="200" w:lineRule="exact"/>
        <w:rPr>
          <w:sz w:val="20"/>
          <w:szCs w:val="20"/>
          <w:color w:val="auto"/>
        </w:rPr>
      </w:pPr>
    </w:p>
    <w:p>
      <w:pPr>
        <w:spacing w:after="0" w:line="38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598" w:right="679" w:bottom="1440" w:gutter="0" w:footer="0" w:header="0"/>
        </w:sectPr>
      </w:pPr>
    </w:p>
    <w:bookmarkStart w:id="3" w:name="page4"/>
    <w:bookmarkEnd w:id="3"/>
    <w:p>
      <w:pPr>
        <w:ind w:left="40"/>
        <w:spacing w:after="0"/>
        <w:rPr>
          <w:sz w:val="20"/>
          <w:szCs w:val="20"/>
          <w:color w:val="auto"/>
        </w:rPr>
      </w:pPr>
      <w:r>
        <w:rPr>
          <w:rFonts w:ascii="Arial" w:cs="Arial" w:eastAsia="Arial" w:hAnsi="Arial"/>
          <w:sz w:val="18"/>
          <w:szCs w:val="18"/>
          <w:color w:val="auto"/>
        </w:rPr>
        <w:t>CUSIP No. 302081 10 4</w:t>
      </w:r>
    </w:p>
    <w:p>
      <w:pPr>
        <w:spacing w:after="0" w:line="200" w:lineRule="exact"/>
        <w:rPr>
          <w:sz w:val="20"/>
          <w:szCs w:val="20"/>
          <w:color w:val="auto"/>
        </w:rPr>
      </w:pPr>
    </w:p>
    <w:p>
      <w:pPr>
        <w:spacing w:after="0" w:line="376" w:lineRule="exact"/>
        <w:rPr>
          <w:sz w:val="20"/>
          <w:szCs w:val="20"/>
          <w:color w:val="auto"/>
        </w:rPr>
      </w:pPr>
    </w:p>
    <w:p>
      <w:pPr>
        <w:ind w:left="1480" w:right="300"/>
        <w:spacing w:after="0" w:line="277" w:lineRule="auto"/>
        <w:rPr>
          <w:sz w:val="20"/>
          <w:szCs w:val="20"/>
          <w:color w:val="auto"/>
        </w:rPr>
      </w:pPr>
      <w:r>
        <w:rPr>
          <w:rFonts w:ascii="Arial" w:cs="Arial" w:eastAsia="Arial" w:hAnsi="Arial"/>
          <w:sz w:val="18"/>
          <w:szCs w:val="18"/>
          <w:color w:val="auto"/>
        </w:rPr>
        <w:t>Kapoor GRAT”), which directly owns 177,134 shares of Common Stock. As such, Mr. Kapoor has sole dispositive and voting power over the 2,007,847 shares of Common Stock held by him directly and held by the Rohit Kapoor GRAT.</w:t>
      </w:r>
    </w:p>
    <w:p>
      <w:pPr>
        <w:spacing w:after="0" w:line="170" w:lineRule="exact"/>
        <w:rPr>
          <w:sz w:val="20"/>
          <w:szCs w:val="20"/>
          <w:color w:val="auto"/>
        </w:rPr>
      </w:pPr>
    </w:p>
    <w:p>
      <w:pPr>
        <w:ind w:left="1480" w:right="120"/>
        <w:spacing w:after="0" w:line="279" w:lineRule="auto"/>
        <w:rPr>
          <w:sz w:val="20"/>
          <w:szCs w:val="20"/>
          <w:color w:val="auto"/>
        </w:rPr>
      </w:pPr>
      <w:r>
        <w:rPr>
          <w:rFonts w:ascii="Arial" w:cs="Arial" w:eastAsia="Arial" w:hAnsi="Arial"/>
          <w:sz w:val="17"/>
          <w:szCs w:val="17"/>
          <w:color w:val="auto"/>
        </w:rPr>
        <w:t>Mr. Kapoor may be deemed to beneficially own 84,000 shares of Common Stock directly owned by the Rohit Kapoor 2005 Spousal Lifetime Access Trust (the “Rohit Kapoor SLAT”). Mr. Kapoor’s spouse and Mr. Kapoor’s sister-in-law are co-trustees of the Rohit Kapoor SLAT and share dispositive and voting power over the 84,000 shares of Common Stock owned by the Rohit Kapoor SLAT. Mr. Kapoor disclaims beneficial ownership of any shares of Common Stock held by the Rohit Kapoor SLAT.</w:t>
      </w:r>
    </w:p>
    <w:p>
      <w:pPr>
        <w:spacing w:after="0" w:line="171" w:lineRule="exact"/>
        <w:rPr>
          <w:sz w:val="20"/>
          <w:szCs w:val="20"/>
          <w:color w:val="auto"/>
        </w:rPr>
      </w:pPr>
    </w:p>
    <w:p>
      <w:pPr>
        <w:ind w:left="1480"/>
        <w:spacing w:after="0" w:line="279" w:lineRule="auto"/>
        <w:rPr>
          <w:sz w:val="20"/>
          <w:szCs w:val="20"/>
          <w:color w:val="auto"/>
        </w:rPr>
      </w:pPr>
      <w:r>
        <w:rPr>
          <w:rFonts w:ascii="Arial" w:cs="Arial" w:eastAsia="Arial" w:hAnsi="Arial"/>
          <w:sz w:val="17"/>
          <w:szCs w:val="17"/>
          <w:color w:val="auto"/>
        </w:rPr>
        <w:t>Mr. Kapoor may be deemed to beneficially own 84,000 shares of Common Stock directly owned by the Shikha Kapoor 2005 Family Trust (the “Shikha Kapoor 2005 Trust”). Mr. Kapoor and Mr. Kapoor’s sister-in-law are co-trustees of the Shikha Kapoor 2005 Trust and share dispositive and voting power over the 84,000 shares of Common Stock owned by the Shikha Kapoor 2005 Trust. Mr. Kapoor disclaims beneficial ownership of any shares of Common Stock held by the Shikha Kapoor 2005 Trust.</w:t>
      </w:r>
    </w:p>
    <w:p>
      <w:pPr>
        <w:spacing w:after="0" w:line="10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 or</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Control Person:</w:t>
      </w:r>
    </w:p>
    <w:p>
      <w:pPr>
        <w:spacing w:after="0" w:line="14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4" w:name="page5"/>
    <w:bookmarkEnd w:id="4"/>
    <w:p>
      <w:pPr>
        <w:ind w:left="40"/>
        <w:spacing w:after="0"/>
        <w:rPr>
          <w:sz w:val="20"/>
          <w:szCs w:val="20"/>
          <w:color w:val="auto"/>
        </w:rPr>
      </w:pPr>
      <w:r>
        <w:rPr>
          <w:rFonts w:ascii="Arial" w:cs="Arial" w:eastAsia="Arial" w:hAnsi="Arial"/>
          <w:sz w:val="18"/>
          <w:szCs w:val="18"/>
          <w:color w:val="auto"/>
        </w:rPr>
        <w:t>CUSIP No. 302081 10 4</w:t>
      </w:r>
    </w:p>
    <w:p>
      <w:pPr>
        <w:spacing w:after="0" w:line="30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2011</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1780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Rohit Kapoor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760"/>
      </w:cols>
      <w:pgMar w:left="240" w:top="301"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2]"/>
      <w:numFmt w:val="upperLetter"/>
      <w:start w:val="24"/>
    </w:lvl>
  </w:abstractNum>
  <w:abstractNum w:abstractNumId="1">
    <w:nsid w:val="66334873"/>
    <w:multiLevelType w:val="hybridMultilevel"/>
    <w:lvl w:ilvl="0">
      <w:lvlJc w:val="left"/>
      <w:lvlText w:val="4"/>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2019-12-11T00:12:11Z</dcterms:created>
  <dcterms:modified xsi:type="dcterms:W3CDTF">2019-12-11T00:12:11Z</dcterms:modified>
</cp:coreProperties>
</file>