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ind w:left="1740"/>
        <w:spacing w:after="0"/>
        <w:tabs>
          <w:tab w:leader="none" w:pos="53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April 24, 2008</w:t>
      </w:r>
    </w:p>
    <w:p>
      <w:pPr>
        <w:spacing w:after="0" w:line="200" w:lineRule="exact"/>
        <w:rPr>
          <w:sz w:val="24"/>
          <w:szCs w:val="24"/>
          <w:color w:val="auto"/>
        </w:rPr>
      </w:pPr>
    </w:p>
    <w:p>
      <w:pPr>
        <w:spacing w:after="0" w:line="22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001-33089</w:t>
            </w:r>
          </w:p>
        </w:tc>
        <w:tc>
          <w:tcPr>
            <w:tcW w:w="3840" w:type="dxa"/>
            <w:vAlign w:val="bottom"/>
          </w:tcPr>
          <w:p>
            <w:pPr>
              <w:jc w:val="right"/>
              <w:ind w:right="137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(Commission File Number)</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533"/>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350 Park Avenue</w:t>
            </w:r>
          </w:p>
        </w:tc>
        <w:tc>
          <w:tcPr>
            <w:tcW w:w="3840" w:type="dxa"/>
            <w:vAlign w:val="bottom"/>
          </w:tcPr>
          <w:p>
            <w:pPr>
              <w:spacing w:after="0"/>
              <w:rPr>
                <w:sz w:val="24"/>
                <w:szCs w:val="24"/>
                <w:color w:val="auto"/>
              </w:rPr>
            </w:pPr>
          </w:p>
        </w:tc>
      </w:tr>
      <w:tr>
        <w:trPr>
          <w:trHeight w:val="255"/>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New York, New York</w:t>
            </w:r>
          </w:p>
        </w:tc>
        <w:tc>
          <w:tcPr>
            <w:tcW w:w="3840" w:type="dxa"/>
            <w:vAlign w:val="bottom"/>
          </w:tcPr>
          <w:p>
            <w:pPr>
              <w:jc w:val="right"/>
              <w:ind w:right="1572"/>
              <w:spacing w:after="0"/>
              <w:rPr>
                <w:sz w:val="20"/>
                <w:szCs w:val="20"/>
                <w:color w:val="auto"/>
              </w:rPr>
            </w:pPr>
            <w:r>
              <w:rPr>
                <w:rFonts w:ascii="Arial" w:cs="Arial" w:eastAsia="Arial" w:hAnsi="Arial"/>
                <w:sz w:val="18"/>
                <w:szCs w:val="18"/>
                <w:b w:val="1"/>
                <w:bCs w:val="1"/>
                <w:color w:val="auto"/>
              </w:rPr>
              <w:t>10022</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29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2099" w:firstLine="402"/>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0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17"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p>
      <w:pPr>
        <w:jc w:val="both"/>
        <w:ind w:left="1300" w:right="2119" w:hanging="1296"/>
        <w:spacing w:after="0" w:line="275" w:lineRule="auto"/>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180" w:lineRule="exact"/>
        <w:rPr>
          <w:sz w:val="20"/>
          <w:szCs w:val="20"/>
          <w:color w:val="auto"/>
        </w:rPr>
      </w:pPr>
    </w:p>
    <w:p>
      <w:pPr>
        <w:jc w:val="both"/>
        <w:ind w:right="2119" w:firstLine="1297"/>
        <w:spacing w:after="0" w:line="306" w:lineRule="auto"/>
        <w:rPr>
          <w:sz w:val="20"/>
          <w:szCs w:val="20"/>
          <w:color w:val="auto"/>
        </w:rPr>
      </w:pPr>
      <w:r>
        <w:rPr>
          <w:rFonts w:ascii="Arial" w:cs="Arial" w:eastAsia="Arial" w:hAnsi="Arial"/>
          <w:sz w:val="16"/>
          <w:szCs w:val="16"/>
          <w:color w:val="auto"/>
        </w:rPr>
        <w:t>On April 24, 2008, the Board of Directors of ExlService Holdings, Inc. (the “Company”) approved certain amendments to the Company’s Amended and Restated By-laws in connection with the creation of the position of lead director pursuant to the Company’s internally developed succession plan.</w:t>
      </w:r>
    </w:p>
    <w:p>
      <w:pPr>
        <w:spacing w:after="0" w:line="161"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The amendments permit the lead director to call a special meeting of the Company’s Board of Directors, to preside, upon the absence of the Company’s Chairman and its CEO, at meetings of the Company’s stockholders, and to preside, upon the absence of the Company’s Chairman, at meetings of the Company’s Board of Directors.</w:t>
      </w:r>
    </w:p>
    <w:p>
      <w:pPr>
        <w:spacing w:after="0" w:line="197" w:lineRule="exact"/>
        <w:rPr>
          <w:sz w:val="20"/>
          <w:szCs w:val="20"/>
          <w:color w:val="auto"/>
        </w:rPr>
      </w:pPr>
    </w:p>
    <w:p>
      <w:pPr>
        <w:jc w:val="both"/>
        <w:ind w:right="2119" w:firstLine="1297"/>
        <w:spacing w:after="0" w:line="306" w:lineRule="auto"/>
        <w:rPr>
          <w:sz w:val="20"/>
          <w:szCs w:val="20"/>
          <w:color w:val="auto"/>
        </w:rPr>
      </w:pPr>
      <w:r>
        <w:rPr>
          <w:rFonts w:ascii="Arial" w:cs="Arial" w:eastAsia="Arial" w:hAnsi="Arial"/>
          <w:sz w:val="16"/>
          <w:szCs w:val="16"/>
          <w:color w:val="auto"/>
        </w:rPr>
        <w:t>The amendments became effective on April 24, 2008. The Amended and Restated By-laws of the Company are attached as Exhibit 3.1 hereto and incorporated by reference herein. The description set forth above is qualified in its entirety by reference to the Amended and Restated By-laws attached hereto.</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84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15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26"/>
        </w:trPr>
        <w:tc>
          <w:tcPr>
            <w:tcW w:w="130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340" w:type="dxa"/>
            <w:vAlign w:val="bottom"/>
            <w:gridSpan w:val="3"/>
          </w:tcPr>
          <w:p>
            <w:pPr>
              <w:ind w:left="440"/>
              <w:spacing w:after="0"/>
              <w:rPr>
                <w:sz w:val="20"/>
                <w:szCs w:val="20"/>
                <w:color w:val="auto"/>
              </w:rPr>
            </w:pPr>
            <w:r>
              <w:rPr>
                <w:rFonts w:ascii="Arial" w:cs="Arial" w:eastAsia="Arial" w:hAnsi="Arial"/>
                <w:sz w:val="18"/>
                <w:szCs w:val="18"/>
                <w:color w:val="auto"/>
              </w:rPr>
              <w:t>DESCRIPTION</w:t>
            </w: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77"/>
        </w:trPr>
        <w:tc>
          <w:tcPr>
            <w:tcW w:w="1300" w:type="dxa"/>
            <w:vAlign w:val="bottom"/>
          </w:tcPr>
          <w:p>
            <w:pPr>
              <w:spacing w:after="0"/>
              <w:rPr>
                <w:sz w:val="24"/>
                <w:szCs w:val="24"/>
                <w:color w:val="auto"/>
              </w:rPr>
            </w:pPr>
          </w:p>
        </w:tc>
        <w:tc>
          <w:tcPr>
            <w:tcW w:w="100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w w:val="95"/>
              </w:rPr>
              <w:t>Second Amended and Restated By-laws of ExlService Holdings,</w:t>
            </w:r>
          </w:p>
        </w:tc>
      </w:tr>
      <w:tr>
        <w:trPr>
          <w:trHeight w:val="222"/>
        </w:trPr>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40" w:type="dxa"/>
            <w:vAlign w:val="bottom"/>
            <w:gridSpan w:val="3"/>
          </w:tcPr>
          <w:p>
            <w:pPr>
              <w:ind w:left="440"/>
              <w:spacing w:after="0"/>
              <w:rPr>
                <w:sz w:val="20"/>
                <w:szCs w:val="20"/>
                <w:color w:val="auto"/>
              </w:rPr>
            </w:pPr>
            <w:r>
              <w:rPr>
                <w:rFonts w:ascii="Arial" w:cs="Arial" w:eastAsia="Arial" w:hAnsi="Arial"/>
                <w:sz w:val="18"/>
                <w:szCs w:val="18"/>
                <w:color w:val="auto"/>
              </w:rPr>
              <w:t>Inc.</w:t>
            </w:r>
          </w:p>
        </w:tc>
      </w:tr>
      <w:tr>
        <w:trPr>
          <w:trHeight w:val="1120"/>
        </w:trPr>
        <w:tc>
          <w:tcPr>
            <w:tcW w:w="1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2008</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EXLERVICE HOLDINGS, INC.</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10795</wp:posOffset>
            </wp:positionV>
            <wp:extent cx="2280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Amit Shashank</w:t>
      </w:r>
    </w:p>
    <w:p>
      <w:pPr>
        <w:spacing w:after="0" w:line="15" w:lineRule="exact"/>
        <w:rPr>
          <w:sz w:val="20"/>
          <w:szCs w:val="20"/>
          <w:color w:val="auto"/>
        </w:rPr>
      </w:pPr>
    </w:p>
    <w:p>
      <w:pPr>
        <w:ind w:left="5060"/>
        <w:spacing w:after="0"/>
        <w:tabs>
          <w:tab w:leader="none" w:pos="5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General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776605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20" w:type="dxa"/>
            <w:vAlign w:val="bottom"/>
          </w:tcPr>
          <w:p>
            <w:pPr>
              <w:ind w:left="280"/>
              <w:spacing w:after="0"/>
              <w:rPr>
                <w:sz w:val="20"/>
                <w:szCs w:val="20"/>
                <w:color w:val="auto"/>
              </w:rPr>
            </w:pPr>
            <w:r>
              <w:rPr>
                <w:rFonts w:ascii="Arial" w:cs="Arial" w:eastAsia="Arial" w:hAnsi="Arial"/>
                <w:sz w:val="18"/>
                <w:szCs w:val="18"/>
                <w:b w:val="1"/>
                <w:bCs w:val="1"/>
                <w:color w:val="auto"/>
              </w:rPr>
              <w:t>EXHIBIT INDEX</w:t>
            </w:r>
          </w:p>
        </w:tc>
      </w:tr>
      <w:tr>
        <w:trPr>
          <w:trHeight w:val="610"/>
        </w:trPr>
        <w:tc>
          <w:tcPr>
            <w:tcW w:w="19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48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43"/>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88"/>
              </w:rPr>
              <w:t>Second Amended and Restated By-laws of ExlService Holdings, Inc.</w:t>
            </w:r>
          </w:p>
        </w:tc>
      </w:tr>
    </w:tbl>
    <w:p>
      <w:pPr>
        <w:sectPr>
          <w:pgSz w:w="11900" w:h="16838" w:orient="portrait"/>
          <w:cols w:equalWidth="0" w:num="1">
            <w:col w:w="10219"/>
          </w:cols>
          <w:pgMar w:left="240" w:top="773" w:right="1440" w:bottom="1440" w:gutter="0" w:footer="0" w:header="0"/>
        </w:sectPr>
      </w:pPr>
    </w:p>
    <w:bookmarkStart w:id="4" w:name="page5"/>
    <w:bookmarkEnd w:id="4"/>
    <w:p>
      <w:pPr>
        <w:jc w:val="right"/>
        <w:ind w:right="2099"/>
        <w:spacing w:after="0"/>
        <w:rPr>
          <w:sz w:val="20"/>
          <w:szCs w:val="20"/>
          <w:color w:val="auto"/>
        </w:rPr>
      </w:pPr>
      <w:r>
        <w:rPr>
          <w:rFonts w:ascii="Arial" w:cs="Arial" w:eastAsia="Arial" w:hAnsi="Arial"/>
          <w:sz w:val="18"/>
          <w:szCs w:val="18"/>
          <w:b w:val="1"/>
          <w:bCs w:val="1"/>
          <w:u w:val="single" w:color="auto"/>
          <w:color w:val="auto"/>
        </w:rPr>
        <w:t>EXHIBIT 3.1</w:t>
      </w:r>
    </w:p>
    <w:p>
      <w:pPr>
        <w:spacing w:after="0" w:line="200" w:lineRule="exact"/>
        <w:rPr>
          <w:sz w:val="20"/>
          <w:szCs w:val="20"/>
          <w:color w:val="auto"/>
        </w:rPr>
      </w:pPr>
    </w:p>
    <w:p>
      <w:pPr>
        <w:spacing w:after="0" w:line="274"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SECOND</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of</w:t>
      </w:r>
    </w:p>
    <w:p>
      <w:pPr>
        <w:spacing w:after="0" w:line="21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pacing w:after="0" w:line="349"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0000FF"/>
        </w:rPr>
        <w:t>ARTICLE 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u w:val="single" w:color="auto"/>
          <w:color w:val="0000FF"/>
        </w:rPr>
        <w:t>DEFINITIONS</w:t>
      </w:r>
    </w:p>
    <w:p>
      <w:pPr>
        <w:spacing w:after="0" w:line="33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200" w:lineRule="exact"/>
        <w:rPr>
          <w:sz w:val="20"/>
          <w:szCs w:val="20"/>
          <w:color w:val="auto"/>
        </w:rPr>
      </w:pP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200" w:lineRule="exact"/>
        <w:rPr>
          <w:sz w:val="20"/>
          <w:szCs w:val="20"/>
          <w:color w:val="auto"/>
        </w:rPr>
      </w:pP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 means the Board of Directors of the Corporation.</w:t>
      </w:r>
    </w:p>
    <w:p>
      <w:pPr>
        <w:spacing w:after="0" w:line="200" w:lineRule="exact"/>
        <w:rPr>
          <w:sz w:val="20"/>
          <w:szCs w:val="20"/>
          <w:color w:val="auto"/>
        </w:rPr>
      </w:pPr>
    </w:p>
    <w:p>
      <w:pPr>
        <w:spacing w:after="0" w:line="376" w:lineRule="exact"/>
        <w:rPr>
          <w:sz w:val="20"/>
          <w:szCs w:val="20"/>
          <w:color w:val="auto"/>
        </w:rPr>
      </w:pPr>
    </w:p>
    <w:p>
      <w:pPr>
        <w:ind w:right="2119" w:firstLine="1297"/>
        <w:spacing w:after="0" w:line="51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By-laws</w:t>
      </w:r>
      <w:r>
        <w:rPr>
          <w:rFonts w:ascii="Arial" w:cs="Arial" w:eastAsia="Arial" w:hAnsi="Arial"/>
          <w:sz w:val="18"/>
          <w:szCs w:val="18"/>
          <w:color w:val="auto"/>
        </w:rPr>
        <w:t>” means these Amended and Restated By-Laws of the Corporation, as further amended from time to time.</w:t>
      </w:r>
    </w:p>
    <w:p>
      <w:pPr>
        <w:spacing w:after="0" w:line="91" w:lineRule="exact"/>
        <w:rPr>
          <w:sz w:val="20"/>
          <w:szCs w:val="20"/>
          <w:color w:val="auto"/>
        </w:rPr>
      </w:pPr>
    </w:p>
    <w:p>
      <w:pPr>
        <w:ind w:right="2119" w:firstLine="1297"/>
        <w:spacing w:after="0" w:line="51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Corporation, as further amended, supplemented or restated from time to time.</w:t>
      </w:r>
    </w:p>
    <w:p>
      <w:pPr>
        <w:spacing w:after="0" w:line="91"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Chairman</w:t>
      </w:r>
      <w:r>
        <w:rPr>
          <w:rFonts w:ascii="Arial" w:cs="Arial" w:eastAsia="Arial" w:hAnsi="Arial"/>
          <w:sz w:val="16"/>
          <w:szCs w:val="16"/>
          <w:color w:val="auto"/>
        </w:rPr>
        <w:t>” means the Executive Chairman of the Board of Directors of the Corporation.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CEO</w:t>
      </w:r>
      <w:r>
        <w:rPr>
          <w:rFonts w:ascii="Arial" w:cs="Arial" w:eastAsia="Arial" w:hAnsi="Arial"/>
          <w:sz w:val="18"/>
          <w:szCs w:val="18"/>
          <w:color w:val="auto"/>
        </w:rPr>
        <w:t xml:space="preserve"> ” means the Chief Executive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806450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 w:name="page6"/>
    <w:bookmarkEnd w:id="5"/>
    <w:p>
      <w:pPr>
        <w:ind w:left="768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460" w:type="dxa"/>
            <w:vAlign w:val="bottom"/>
          </w:tcPr>
          <w:p>
            <w:pPr>
              <w:ind w:left="40"/>
              <w:spacing w:after="0"/>
              <w:rPr>
                <w:sz w:val="20"/>
                <w:szCs w:val="20"/>
                <w:color w:val="auto"/>
              </w:rPr>
            </w:pPr>
            <w:r>
              <w:rPr>
                <w:rFonts w:ascii="Arial" w:cs="Arial" w:eastAsia="Arial" w:hAnsi="Arial"/>
                <w:sz w:val="18"/>
                <w:szCs w:val="18"/>
                <w:color w:val="auto"/>
              </w:rPr>
              <w:t>1.8</w:t>
            </w:r>
          </w:p>
        </w:tc>
        <w:tc>
          <w:tcPr>
            <w:tcW w:w="5600" w:type="dxa"/>
            <w:vAlign w:val="bottom"/>
            <w:gridSpan w:val="6"/>
          </w:tcPr>
          <w:p>
            <w:pPr>
              <w:ind w:left="180"/>
              <w:spacing w:after="0"/>
              <w:rPr>
                <w:sz w:val="20"/>
                <w:szCs w:val="20"/>
                <w:color w:val="auto"/>
              </w:rPr>
            </w:pPr>
            <w:r>
              <w:rPr>
                <w:rFonts w:ascii="Arial" w:cs="Arial" w:eastAsia="Arial" w:hAnsi="Arial"/>
                <w:sz w:val="18"/>
                <w:szCs w:val="18"/>
                <w:color w:val="auto"/>
                <w:w w:val="97"/>
              </w:rPr>
              <w:t>“Chief  Financial  Officer”  means  the  Chief  Financial  Officer  of  the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0" w:type="dxa"/>
            <w:vAlign w:val="bottom"/>
          </w:tcPr>
          <w:p>
            <w:pPr>
              <w:spacing w:after="0"/>
              <w:rPr>
                <w:sz w:val="20"/>
                <w:szCs w:val="20"/>
                <w:color w:val="auto"/>
              </w:rPr>
            </w:pPr>
          </w:p>
        </w:tc>
        <w:tc>
          <w:tcPr>
            <w:tcW w:w="5600" w:type="dxa"/>
            <w:vAlign w:val="bottom"/>
            <w:gridSpan w:val="6"/>
          </w:tcPr>
          <w:p>
            <w:pPr>
              <w:ind w:left="18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434"/>
        </w:trPr>
        <w:tc>
          <w:tcPr>
            <w:tcW w:w="460" w:type="dxa"/>
            <w:vAlign w:val="bottom"/>
          </w:tcPr>
          <w:p>
            <w:pPr>
              <w:spacing w:after="0"/>
              <w:rPr>
                <w:sz w:val="20"/>
                <w:szCs w:val="20"/>
                <w:color w:val="auto"/>
              </w:rPr>
            </w:pPr>
            <w:r>
              <w:rPr>
                <w:rFonts w:ascii="Arial" w:cs="Arial" w:eastAsia="Arial" w:hAnsi="Arial"/>
                <w:sz w:val="18"/>
                <w:szCs w:val="18"/>
                <w:color w:val="auto"/>
              </w:rPr>
              <w:t>1.9</w:t>
            </w:r>
          </w:p>
        </w:tc>
        <w:tc>
          <w:tcPr>
            <w:tcW w:w="5600" w:type="dxa"/>
            <w:vAlign w:val="bottom"/>
            <w:gridSpan w:val="6"/>
          </w:tcPr>
          <w:p>
            <w:pPr>
              <w:ind w:left="160"/>
              <w:spacing w:after="0"/>
              <w:rPr>
                <w:sz w:val="20"/>
                <w:szCs w:val="20"/>
                <w:color w:val="auto"/>
              </w:rPr>
            </w:pPr>
            <w:r>
              <w:rPr>
                <w:rFonts w:ascii="Arial" w:cs="Arial" w:eastAsia="Arial" w:hAnsi="Arial"/>
                <w:sz w:val="18"/>
                <w:szCs w:val="18"/>
                <w:color w:val="auto"/>
              </w:rPr>
              <w:t>“Controller ” means the Controller of the Corporation.</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60" w:type="dxa"/>
            <w:vAlign w:val="bottom"/>
            <w:vMerge w:val="continue"/>
          </w:tcPr>
          <w:p>
            <w:pPr>
              <w:spacing w:after="0"/>
              <w:rPr>
                <w:sz w:val="24"/>
                <w:szCs w:val="24"/>
                <w:color w:val="auto"/>
              </w:rPr>
            </w:pPr>
          </w:p>
        </w:tc>
        <w:tc>
          <w:tcPr>
            <w:tcW w:w="5600" w:type="dxa"/>
            <w:vAlign w:val="bottom"/>
            <w:gridSpan w:val="6"/>
          </w:tcPr>
          <w:p>
            <w:pPr>
              <w:ind w:left="180"/>
              <w:spacing w:after="0"/>
              <w:rPr>
                <w:sz w:val="20"/>
                <w:szCs w:val="20"/>
                <w:color w:val="auto"/>
              </w:rPr>
            </w:pPr>
            <w:r>
              <w:rPr>
                <w:rFonts w:ascii="Arial" w:cs="Arial" w:eastAsia="Arial" w:hAnsi="Arial"/>
                <w:sz w:val="18"/>
                <w:szCs w:val="18"/>
                <w:color w:val="auto"/>
              </w:rPr>
              <w:t>“Corporation ” means ExlService Holdings, Inc.</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60" w:type="dxa"/>
            <w:vAlign w:val="bottom"/>
            <w:vMerge w:val="continue"/>
          </w:tcPr>
          <w:p>
            <w:pPr>
              <w:spacing w:after="0"/>
              <w:rPr>
                <w:sz w:val="24"/>
                <w:szCs w:val="24"/>
                <w:color w:val="auto"/>
              </w:rPr>
            </w:pPr>
          </w:p>
        </w:tc>
        <w:tc>
          <w:tcPr>
            <w:tcW w:w="5600" w:type="dxa"/>
            <w:vAlign w:val="bottom"/>
            <w:gridSpan w:val="6"/>
          </w:tcPr>
          <w:p>
            <w:pPr>
              <w:ind w:left="180"/>
              <w:spacing w:after="0"/>
              <w:rPr>
                <w:sz w:val="20"/>
                <w:szCs w:val="20"/>
                <w:color w:val="auto"/>
              </w:rPr>
            </w:pPr>
            <w:r>
              <w:rPr>
                <w:rFonts w:ascii="Arial" w:cs="Arial" w:eastAsia="Arial" w:hAnsi="Arial"/>
                <w:sz w:val="18"/>
                <w:szCs w:val="18"/>
                <w:color w:val="auto"/>
              </w:rPr>
              <w:t>“Directors ” means directors of the Corporation.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0" w:type="dxa"/>
            <w:vAlign w:val="bottom"/>
          </w:tcPr>
          <w:p>
            <w:pPr>
              <w:spacing w:after="0"/>
              <w:rPr>
                <w:sz w:val="20"/>
                <w:szCs w:val="20"/>
                <w:color w:val="auto"/>
              </w:rPr>
            </w:pPr>
            <w:r>
              <w:rPr>
                <w:rFonts w:ascii="Arial" w:cs="Arial" w:eastAsia="Arial" w:hAnsi="Arial"/>
                <w:sz w:val="18"/>
                <w:szCs w:val="18"/>
                <w:color w:val="auto"/>
              </w:rPr>
              <w:t>1.12</w:t>
            </w:r>
          </w:p>
        </w:tc>
        <w:tc>
          <w:tcPr>
            <w:tcW w:w="5600" w:type="dxa"/>
            <w:vAlign w:val="bottom"/>
            <w:gridSpan w:val="6"/>
          </w:tcPr>
          <w:p>
            <w:pPr>
              <w:ind w:left="180"/>
              <w:spacing w:after="0"/>
              <w:rPr>
                <w:sz w:val="20"/>
                <w:szCs w:val="20"/>
                <w:color w:val="auto"/>
              </w:rPr>
            </w:pPr>
            <w:r>
              <w:rPr>
                <w:rFonts w:ascii="Arial" w:cs="Arial" w:eastAsia="Arial" w:hAnsi="Arial"/>
                <w:sz w:val="18"/>
                <w:szCs w:val="18"/>
                <w:color w:val="auto"/>
                <w:w w:val="97"/>
              </w:rPr>
              <w:t>“Entire Board” means all then authorized directors of the Corporation.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both"/>
        <w:ind w:left="80" w:right="2119" w:firstLine="1297"/>
        <w:spacing w:after="0" w:line="519"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thereto.</w:t>
      </w:r>
    </w:p>
    <w:p>
      <w:pPr>
        <w:spacing w:after="0" w:line="91" w:lineRule="exact"/>
        <w:rPr>
          <w:sz w:val="20"/>
          <w:szCs w:val="20"/>
          <w:color w:val="auto"/>
        </w:rPr>
      </w:pPr>
    </w:p>
    <w:p>
      <w:pPr>
        <w:jc w:val="both"/>
        <w:ind w:left="80" w:right="2119" w:firstLine="1297"/>
        <w:spacing w:after="0" w:line="510"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IPO Date</w:t>
      </w:r>
      <w:r>
        <w:rPr>
          <w:rFonts w:ascii="Arial" w:cs="Arial" w:eastAsia="Arial" w:hAnsi="Arial"/>
          <w:sz w:val="18"/>
          <w:szCs w:val="18"/>
          <w:color w:val="auto"/>
        </w:rPr>
        <w:t>” ” means the date upon which the Corporation consummates the initial public offering of shares of common stock of the Corporation pursuant to an effective Registration Statement filed under the Securities Act.</w:t>
      </w:r>
    </w:p>
    <w:p>
      <w:pPr>
        <w:spacing w:after="0" w:line="99" w:lineRule="exact"/>
        <w:rPr>
          <w:sz w:val="20"/>
          <w:szCs w:val="20"/>
          <w:color w:val="auto"/>
        </w:rPr>
      </w:pPr>
    </w:p>
    <w:p>
      <w:pPr>
        <w:jc w:val="both"/>
        <w:ind w:left="80" w:right="2119" w:firstLine="1297"/>
        <w:spacing w:after="0" w:line="501"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 from time to time.</w:t>
      </w:r>
    </w:p>
    <w:p>
      <w:pPr>
        <w:ind w:left="130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Lead Director</w:t>
      </w:r>
      <w:r>
        <w:rPr>
          <w:rFonts w:ascii="Arial" w:cs="Arial" w:eastAsia="Arial" w:hAnsi="Arial"/>
          <w:sz w:val="18"/>
          <w:szCs w:val="18"/>
          <w:color w:val="auto"/>
        </w:rPr>
        <w:t>” means the Lead Director of the Corporation.</w:t>
      </w:r>
    </w:p>
    <w:p>
      <w:pPr>
        <w:spacing w:after="0" w:line="200" w:lineRule="exact"/>
        <w:rPr>
          <w:sz w:val="20"/>
          <w:szCs w:val="20"/>
          <w:color w:val="auto"/>
        </w:rPr>
      </w:pPr>
    </w:p>
    <w:p>
      <w:pPr>
        <w:spacing w:after="0" w:line="376" w:lineRule="exact"/>
        <w:rPr>
          <w:sz w:val="20"/>
          <w:szCs w:val="20"/>
          <w:color w:val="auto"/>
        </w:rPr>
      </w:pPr>
    </w:p>
    <w:p>
      <w:pPr>
        <w:jc w:val="both"/>
        <w:ind w:left="80" w:right="2119" w:firstLine="1297"/>
        <w:spacing w:after="0" w:line="501"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tbl>
      <w:tblPr>
        <w:tblLayout w:type="fixed"/>
        <w:tblInd w:w="0" w:type="dxa"/>
        <w:tblCellMar>
          <w:top w:w="0" w:type="dxa"/>
          <w:left w:w="0" w:type="dxa"/>
          <w:bottom w:w="0" w:type="dxa"/>
          <w:right w:w="0" w:type="dxa"/>
        </w:tblCellMar>
      </w:tblPr>
      <w:tr>
        <w:trPr>
          <w:trHeight w:val="211"/>
        </w:trPr>
        <w:tc>
          <w:tcPr>
            <w:tcW w:w="1820" w:type="dxa"/>
            <w:vAlign w:val="bottom"/>
          </w:tcPr>
          <w:p>
            <w:pPr>
              <w:ind w:left="1360"/>
              <w:spacing w:after="0"/>
              <w:rPr>
                <w:sz w:val="20"/>
                <w:szCs w:val="20"/>
                <w:color w:val="auto"/>
              </w:rPr>
            </w:pPr>
            <w:r>
              <w:rPr>
                <w:rFonts w:ascii="Arial" w:cs="Arial" w:eastAsia="Arial" w:hAnsi="Arial"/>
                <w:sz w:val="18"/>
                <w:szCs w:val="18"/>
                <w:color w:val="auto"/>
              </w:rPr>
              <w:t>1.18</w:t>
            </w:r>
          </w:p>
        </w:tc>
        <w:tc>
          <w:tcPr>
            <w:tcW w:w="6320" w:type="dxa"/>
            <w:vAlign w:val="bottom"/>
            <w:gridSpan w:val="6"/>
          </w:tcPr>
          <w:p>
            <w:pPr>
              <w:ind w:left="120"/>
              <w:spacing w:after="0"/>
              <w:rPr>
                <w:sz w:val="20"/>
                <w:szCs w:val="20"/>
                <w:color w:val="auto"/>
              </w:rPr>
            </w:pPr>
            <w:r>
              <w:rPr>
                <w:rFonts w:ascii="Arial" w:cs="Arial" w:eastAsia="Arial" w:hAnsi="Arial"/>
                <w:sz w:val="18"/>
                <w:szCs w:val="18"/>
                <w:color w:val="auto"/>
              </w:rPr>
              <w:t>“President ” means the President of the Corporation.</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1360"/>
              <w:spacing w:after="0"/>
              <w:rPr>
                <w:sz w:val="20"/>
                <w:szCs w:val="20"/>
                <w:color w:val="auto"/>
              </w:rPr>
            </w:pPr>
            <w:r>
              <w:rPr>
                <w:rFonts w:ascii="Arial" w:cs="Arial" w:eastAsia="Arial" w:hAnsi="Arial"/>
                <w:sz w:val="18"/>
                <w:szCs w:val="18"/>
                <w:color w:val="auto"/>
              </w:rPr>
              <w:t>1.19</w:t>
            </w: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820" w:type="dxa"/>
            <w:vAlign w:val="bottom"/>
            <w:vMerge w:val="continue"/>
          </w:tcPr>
          <w:p>
            <w:pPr>
              <w:spacing w:after="0"/>
              <w:rPr>
                <w:sz w:val="24"/>
                <w:szCs w:val="24"/>
                <w:color w:val="auto"/>
              </w:rPr>
            </w:pPr>
          </w:p>
        </w:tc>
        <w:tc>
          <w:tcPr>
            <w:tcW w:w="6320" w:type="dxa"/>
            <w:vAlign w:val="bottom"/>
            <w:gridSpan w:val="6"/>
          </w:tcPr>
          <w:p>
            <w:pPr>
              <w:ind w:left="120"/>
              <w:spacing w:after="0"/>
              <w:rPr>
                <w:sz w:val="20"/>
                <w:szCs w:val="20"/>
                <w:color w:val="auto"/>
              </w:rPr>
            </w:pPr>
            <w:r>
              <w:rPr>
                <w:rFonts w:ascii="Arial" w:cs="Arial" w:eastAsia="Arial" w:hAnsi="Arial"/>
                <w:sz w:val="18"/>
                <w:szCs w:val="18"/>
                <w:color w:val="auto"/>
              </w:rPr>
              <w:t>“Secretary ” means the Secretary of the Corporation.</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820" w:type="dxa"/>
            <w:vAlign w:val="bottom"/>
          </w:tcPr>
          <w:p>
            <w:pPr>
              <w:ind w:left="138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4"/>
                <w:szCs w:val="24"/>
                <w:color w:val="auto"/>
              </w:rPr>
            </w:pPr>
          </w:p>
        </w:tc>
        <w:tc>
          <w:tcPr>
            <w:tcW w:w="6100" w:type="dxa"/>
            <w:vAlign w:val="bottom"/>
            <w:gridSpan w:val="5"/>
          </w:tcPr>
          <w:p>
            <w:pPr>
              <w:ind w:left="80"/>
              <w:spacing w:after="0"/>
              <w:rPr>
                <w:sz w:val="20"/>
                <w:szCs w:val="20"/>
                <w:color w:val="auto"/>
              </w:rPr>
            </w:pPr>
            <w:r>
              <w:rPr>
                <w:rFonts w:ascii="Arial" w:cs="Arial" w:eastAsia="Arial" w:hAnsi="Arial"/>
                <w:sz w:val="18"/>
                <w:szCs w:val="18"/>
                <w:color w:val="auto"/>
                <w:w w:val="92"/>
              </w:rPr>
              <w:t>“Securities Act” means the Securities Act of 1933, as amended, or any successor</w:t>
            </w:r>
          </w:p>
        </w:tc>
        <w:tc>
          <w:tcPr>
            <w:tcW w:w="0" w:type="dxa"/>
            <w:vAlign w:val="bottom"/>
          </w:tcPr>
          <w:p>
            <w:pPr>
              <w:spacing w:after="0"/>
              <w:rPr>
                <w:sz w:val="1"/>
                <w:szCs w:val="1"/>
                <w:color w:val="auto"/>
              </w:rPr>
            </w:pPr>
          </w:p>
        </w:tc>
      </w:tr>
      <w:tr>
        <w:trPr>
          <w:trHeight w:val="451"/>
        </w:trPr>
        <w:tc>
          <w:tcPr>
            <w:tcW w:w="1820" w:type="dxa"/>
            <w:vAlign w:val="bottom"/>
          </w:tcPr>
          <w:p>
            <w:pPr>
              <w:ind w:left="80"/>
              <w:spacing w:after="0"/>
              <w:rPr>
                <w:sz w:val="20"/>
                <w:szCs w:val="20"/>
                <w:color w:val="auto"/>
              </w:rPr>
            </w:pPr>
            <w:r>
              <w:rPr>
                <w:rFonts w:ascii="Arial" w:cs="Arial" w:eastAsia="Arial" w:hAnsi="Arial"/>
                <w:sz w:val="18"/>
                <w:szCs w:val="18"/>
                <w:color w:val="auto"/>
              </w:rPr>
              <w:t>statute thereto.</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820" w:type="dxa"/>
            <w:vAlign w:val="bottom"/>
          </w:tcPr>
          <w:p>
            <w:pPr>
              <w:ind w:left="1380"/>
              <w:spacing w:after="0"/>
              <w:rPr>
                <w:sz w:val="20"/>
                <w:szCs w:val="20"/>
                <w:color w:val="auto"/>
              </w:rPr>
            </w:pPr>
            <w:r>
              <w:rPr>
                <w:rFonts w:ascii="Arial" w:cs="Arial" w:eastAsia="Arial" w:hAnsi="Arial"/>
                <w:sz w:val="18"/>
                <w:szCs w:val="18"/>
                <w:color w:val="auto"/>
              </w:rPr>
              <w:t>1.21</w:t>
            </w:r>
          </w:p>
        </w:tc>
        <w:tc>
          <w:tcPr>
            <w:tcW w:w="6320" w:type="dxa"/>
            <w:vAlign w:val="bottom"/>
            <w:gridSpan w:val="6"/>
          </w:tcPr>
          <w:p>
            <w:pPr>
              <w:ind w:left="140"/>
              <w:spacing w:after="0"/>
              <w:rPr>
                <w:sz w:val="20"/>
                <w:szCs w:val="20"/>
                <w:color w:val="auto"/>
              </w:rPr>
            </w:pPr>
            <w:r>
              <w:rPr>
                <w:rFonts w:ascii="Arial" w:cs="Arial" w:eastAsia="Arial" w:hAnsi="Arial"/>
                <w:sz w:val="18"/>
                <w:szCs w:val="18"/>
                <w:color w:val="auto"/>
              </w:rPr>
              <w:t>“Stockholders ” means stockholders of the Corporation.</w:t>
            </w:r>
          </w:p>
        </w:tc>
        <w:tc>
          <w:tcPr>
            <w:tcW w:w="0" w:type="dxa"/>
            <w:vAlign w:val="bottom"/>
          </w:tcPr>
          <w:p>
            <w:pPr>
              <w:spacing w:after="0"/>
              <w:rPr>
                <w:sz w:val="1"/>
                <w:szCs w:val="1"/>
                <w:color w:val="auto"/>
              </w:rPr>
            </w:pPr>
          </w:p>
        </w:tc>
      </w:tr>
      <w:tr>
        <w:trPr>
          <w:trHeight w:val="1287"/>
        </w:trPr>
        <w:tc>
          <w:tcPr>
            <w:tcW w:w="1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ind w:left="76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Treasurer</w:t>
      </w:r>
      <w:r>
        <w:rPr>
          <w:rFonts w:ascii="Arial" w:cs="Arial" w:eastAsia="Arial" w:hAnsi="Arial"/>
          <w:sz w:val="15"/>
          <w:szCs w:val="15"/>
          <w:color w:val="auto"/>
        </w:rPr>
        <w:t xml:space="preserve"> ” means the Treasurer of the Corporation.</w:t>
      </w:r>
    </w:p>
    <w:p>
      <w:pPr>
        <w:spacing w:after="0" w:line="200" w:lineRule="exact"/>
        <w:rPr>
          <w:sz w:val="20"/>
          <w:szCs w:val="20"/>
          <w:color w:val="auto"/>
        </w:rPr>
      </w:pPr>
    </w:p>
    <w:p>
      <w:pPr>
        <w:spacing w:after="0" w:line="255"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Vice President</w:t>
      </w:r>
      <w:r>
        <w:rPr>
          <w:rFonts w:ascii="Arial" w:cs="Arial" w:eastAsia="Arial" w:hAnsi="Arial"/>
          <w:sz w:val="15"/>
          <w:szCs w:val="15"/>
          <w:color w:val="auto"/>
        </w:rPr>
        <w:t>” means a Vice President of the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0000FF"/>
        </w:rPr>
        <w:t>ARTICLE 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0000FF"/>
        </w:rPr>
        <w:t>STOCKHOLDERS</w:t>
      </w:r>
    </w:p>
    <w:p>
      <w:pPr>
        <w:spacing w:after="0" w:line="347" w:lineRule="exact"/>
        <w:rPr>
          <w:sz w:val="20"/>
          <w:szCs w:val="20"/>
          <w:color w:val="auto"/>
        </w:rPr>
      </w:pPr>
    </w:p>
    <w:p>
      <w:pPr>
        <w:jc w:val="both"/>
        <w:ind w:right="2119" w:firstLine="1297"/>
        <w:spacing w:after="0" w:line="58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Place of Meetings</w:t>
      </w:r>
      <w:r>
        <w:rPr>
          <w:rFonts w:ascii="Arial" w:cs="Arial" w:eastAsia="Arial" w:hAnsi="Arial"/>
          <w:sz w:val="16"/>
          <w:szCs w:val="16"/>
          <w:color w:val="auto"/>
        </w:rPr>
        <w:t>.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72" w:lineRule="exact"/>
        <w:rPr>
          <w:sz w:val="20"/>
          <w:szCs w:val="20"/>
          <w:color w:val="auto"/>
        </w:rPr>
      </w:pPr>
    </w:p>
    <w:p>
      <w:pPr>
        <w:jc w:val="both"/>
        <w:ind w:right="2119" w:firstLine="1297"/>
        <w:spacing w:after="0" w:line="50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101" w:lineRule="exact"/>
        <w:rPr>
          <w:sz w:val="20"/>
          <w:szCs w:val="20"/>
          <w:color w:val="auto"/>
        </w:rPr>
      </w:pPr>
    </w:p>
    <w:p>
      <w:pPr>
        <w:jc w:val="both"/>
        <w:ind w:right="2099" w:firstLine="1297"/>
        <w:spacing w:after="0" w:line="58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Unless otherwise prescribed by applicable law and subject to the express terms of any series of shares of preferred stock, special meetings of Stockholders may be called only by (a) the Chairman or (b) a majority of the members of the Board, and may not be called by any other person or persons. Business transacted at any special meeting of Stockholders shall be limited to the purpose stated in the notice.</w:t>
      </w:r>
    </w:p>
    <w:p>
      <w:pPr>
        <w:spacing w:after="0" w:line="72" w:lineRule="exact"/>
        <w:rPr>
          <w:sz w:val="20"/>
          <w:szCs w:val="20"/>
          <w:color w:val="auto"/>
        </w:rPr>
      </w:pPr>
    </w:p>
    <w:p>
      <w:pPr>
        <w:jc w:val="both"/>
        <w:ind w:right="2119" w:firstLine="1297"/>
        <w:spacing w:after="0" w:line="50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Fixing Record Date</w:t>
      </w:r>
      <w:r>
        <w:rPr>
          <w:rFonts w:ascii="Arial" w:cs="Arial" w:eastAsia="Arial" w:hAnsi="Arial"/>
          <w:sz w:val="18"/>
          <w:szCs w:val="18"/>
          <w:color w:val="auto"/>
        </w:rPr>
        <w:t>. For the purpose of (a) determining the Stockholders entitled (i) to notice of or to vote at any meeting of Stockholders or any adjournment thereof or (ii) to receive payment of any dividend or other distribution or allotment of any rights, or entitled to exercise any rights in respect of any change, conversion or exchange of stock; or (b)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ind w:left="768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505" w:lineRule="auto"/>
        <w:rPr>
          <w:sz w:val="20"/>
          <w:szCs w:val="20"/>
          <w:color w:val="auto"/>
        </w:rPr>
      </w:pPr>
      <w:r>
        <w:rPr>
          <w:rFonts w:ascii="Arial" w:cs="Arial" w:eastAsia="Arial" w:hAnsi="Arial"/>
          <w:sz w:val="18"/>
          <w:szCs w:val="18"/>
          <w:color w:val="auto"/>
        </w:rPr>
        <w:t>lawful action, the Board may fix a record date, which record date shall not precede the date upon which the resolution fixing the record date was adopted by the Board and which record date, unless otherwise required by applicable law, shall not be (y) in the case of clause (a)(i) above, more than 60 nor less than 10 days before the date of such meeting and (z) in the case of clause (a)(ii) or (b) above, more than 60 days prior to such action. If no such record date is fixed:</w:t>
      </w:r>
    </w:p>
    <w:p>
      <w:pPr>
        <w:spacing w:after="0" w:line="105" w:lineRule="exact"/>
        <w:rPr>
          <w:sz w:val="20"/>
          <w:szCs w:val="20"/>
          <w:color w:val="auto"/>
        </w:rPr>
      </w:pPr>
    </w:p>
    <w:p>
      <w:pPr>
        <w:jc w:val="both"/>
        <w:ind w:right="2099" w:firstLine="1945"/>
        <w:spacing w:after="0" w:line="507" w:lineRule="auto"/>
        <w:rPr>
          <w:sz w:val="20"/>
          <w:szCs w:val="20"/>
          <w:color w:val="auto"/>
        </w:rPr>
      </w:pPr>
      <w:r>
        <w:rPr>
          <w:rFonts w:ascii="Arial" w:cs="Arial" w:eastAsia="Arial" w:hAnsi="Arial"/>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101" w:lineRule="exact"/>
        <w:rPr>
          <w:sz w:val="20"/>
          <w:szCs w:val="20"/>
          <w:color w:val="auto"/>
        </w:rPr>
      </w:pPr>
    </w:p>
    <w:p>
      <w:pPr>
        <w:jc w:val="both"/>
        <w:ind w:right="2119" w:firstLine="1945"/>
        <w:spacing w:after="0" w:line="576" w:lineRule="auto"/>
        <w:rPr>
          <w:sz w:val="20"/>
          <w:szCs w:val="20"/>
          <w:color w:val="auto"/>
        </w:rPr>
      </w:pPr>
      <w:r>
        <w:rPr>
          <w:rFonts w:ascii="Arial" w:cs="Arial" w:eastAsia="Arial" w:hAnsi="Arial"/>
          <w:sz w:val="16"/>
          <w:szCs w:val="16"/>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75" w:lineRule="exact"/>
        <w:rPr>
          <w:sz w:val="20"/>
          <w:szCs w:val="20"/>
          <w:color w:val="auto"/>
        </w:rPr>
      </w:pPr>
    </w:p>
    <w:p>
      <w:pPr>
        <w:jc w:val="both"/>
        <w:ind w:right="2119" w:firstLine="1297"/>
        <w:spacing w:after="0" w:line="57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Meetings of Stockholders</w:t>
      </w:r>
      <w:r>
        <w:rPr>
          <w:rFonts w:ascii="Arial" w:cs="Arial" w:eastAsia="Arial" w:hAnsi="Arial"/>
          <w:sz w:val="16"/>
          <w:szCs w:val="16"/>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Unless otherwise provided by applicable law, the Certificate of Incorporation or these By-laws, notice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ind w:left="76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8" w:lineRule="auto"/>
        <w:rPr>
          <w:sz w:val="20"/>
          <w:szCs w:val="20"/>
          <w:color w:val="auto"/>
        </w:rPr>
      </w:pPr>
      <w:r>
        <w:rPr>
          <w:rFonts w:ascii="Arial" w:cs="Arial" w:eastAsia="Arial" w:hAnsi="Arial"/>
          <w:sz w:val="16"/>
          <w:szCs w:val="16"/>
          <w:color w:val="auto"/>
        </w:rPr>
        <w:t>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82" w:lineRule="exact"/>
        <w:rPr>
          <w:sz w:val="20"/>
          <w:szCs w:val="20"/>
          <w:color w:val="auto"/>
        </w:rPr>
      </w:pPr>
    </w:p>
    <w:p>
      <w:pPr>
        <w:jc w:val="both"/>
        <w:ind w:right="2119" w:firstLine="1297"/>
        <w:spacing w:after="0" w:line="50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51669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ind w:left="768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99" w:firstLine="1297"/>
        <w:spacing w:after="0" w:line="56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spacing w:after="0" w:line="87" w:lineRule="exact"/>
        <w:rPr>
          <w:sz w:val="20"/>
          <w:szCs w:val="20"/>
          <w:color w:val="auto"/>
        </w:rPr>
      </w:pPr>
    </w:p>
    <w:p>
      <w:pPr>
        <w:jc w:val="both"/>
        <w:ind w:right="2099" w:firstLine="1297"/>
        <w:spacing w:after="0" w:line="573"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Quorum of Stockholders; Adjournment</w:t>
      </w:r>
      <w:r>
        <w:rPr>
          <w:rFonts w:ascii="Arial" w:cs="Arial" w:eastAsia="Arial" w:hAnsi="Arial"/>
          <w:sz w:val="16"/>
          <w:szCs w:val="16"/>
          <w:color w:val="auto"/>
        </w:rPr>
        <w:t>.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51669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ind w:left="768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72" w:lineRule="auto"/>
        <w:rPr>
          <w:sz w:val="20"/>
          <w:szCs w:val="20"/>
          <w:color w:val="auto"/>
        </w:rPr>
      </w:pPr>
      <w:r>
        <w:rPr>
          <w:rFonts w:ascii="Arial" w:cs="Arial" w:eastAsia="Arial" w:hAnsi="Arial"/>
          <w:sz w:val="16"/>
          <w:szCs w:val="16"/>
          <w:color w:val="auto"/>
        </w:rPr>
        <w:t xml:space="preserve">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Corporation to vote stock, including but not limited to its own stock, held by it in a fiduciary capacity.</w:t>
      </w:r>
    </w:p>
    <w:p>
      <w:pPr>
        <w:spacing w:after="0" w:line="78" w:lineRule="exact"/>
        <w:rPr>
          <w:sz w:val="20"/>
          <w:szCs w:val="20"/>
          <w:color w:val="auto"/>
        </w:rPr>
      </w:pPr>
    </w:p>
    <w:p>
      <w:pPr>
        <w:jc w:val="both"/>
        <w:ind w:right="2099" w:firstLine="1297"/>
        <w:spacing w:after="0" w:line="56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Voting; Proxies</w:t>
      </w:r>
      <w:r>
        <w:rPr>
          <w:rFonts w:ascii="Arial" w:cs="Arial" w:eastAsia="Arial" w:hAnsi="Arial"/>
          <w:sz w:val="16"/>
          <w:szCs w:val="16"/>
          <w:color w:val="auto"/>
        </w:rPr>
        <w:t>. Unless otherwise provided in the Certificate of Incorporation, every Stockholder entitled to vote at any meeting of Stockholders shall be 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Directors as more fully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51669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 w:name="page12"/>
    <w:bookmarkEnd w:id="11"/>
    <w:p>
      <w:pPr>
        <w:ind w:left="768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588" w:lineRule="auto"/>
        <w:rPr>
          <w:sz w:val="20"/>
          <w:szCs w:val="20"/>
          <w:color w:val="auto"/>
        </w:rPr>
      </w:pPr>
      <w:r>
        <w:rPr>
          <w:rFonts w:ascii="Arial" w:cs="Arial" w:eastAsia="Arial" w:hAnsi="Arial"/>
          <w:sz w:val="16"/>
          <w:szCs w:val="16"/>
          <w:color w:val="auto"/>
        </w:rPr>
        <w:t>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66" w:lineRule="exact"/>
        <w:rPr>
          <w:sz w:val="20"/>
          <w:szCs w:val="20"/>
          <w:color w:val="auto"/>
        </w:rPr>
      </w:pPr>
    </w:p>
    <w:p>
      <w:pPr>
        <w:jc w:val="both"/>
        <w:ind w:right="2119" w:firstLine="1297"/>
        <w:spacing w:after="0" w:line="56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of Election at Meetings of Stockholders</w:t>
      </w:r>
      <w:r>
        <w:rPr>
          <w:rFonts w:ascii="Arial" w:cs="Arial" w:eastAsia="Arial" w:hAnsi="Arial"/>
          <w:sz w:val="16"/>
          <w:szCs w:val="16"/>
          <w:color w:val="auto"/>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51669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ind w:left="768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507" w:lineRule="auto"/>
        <w:rPr>
          <w:sz w:val="20"/>
          <w:szCs w:val="20"/>
          <w:color w:val="auto"/>
        </w:rPr>
      </w:pPr>
      <w:r>
        <w:rPr>
          <w:rFonts w:ascii="Arial" w:cs="Arial" w:eastAsia="Arial" w:hAnsi="Arial"/>
          <w:sz w:val="18"/>
          <w:szCs w:val="18"/>
          <w:color w:val="auto"/>
        </w:rPr>
        <w:t>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01" w:lineRule="exact"/>
        <w:rPr>
          <w:sz w:val="20"/>
          <w:szCs w:val="20"/>
          <w:color w:val="auto"/>
        </w:rPr>
      </w:pPr>
    </w:p>
    <w:p>
      <w:pPr>
        <w:jc w:val="right"/>
        <w:ind w:right="2099"/>
        <w:spacing w:after="0"/>
        <w:tabs>
          <w:tab w:leader="none" w:pos="6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Conduct of Meetings; Director Nominations; Meeting Business and Other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Proposals</w:t>
      </w:r>
      <w:r>
        <w:rPr>
          <w:rFonts w:ascii="Arial" w:cs="Arial" w:eastAsia="Arial" w:hAnsi="Arial"/>
          <w:sz w:val="18"/>
          <w:szCs w:val="18"/>
          <w:color w:val="auto"/>
        </w:rPr>
        <w:t>.</w:t>
      </w:r>
    </w:p>
    <w:p>
      <w:pPr>
        <w:spacing w:after="0" w:line="347" w:lineRule="exact"/>
        <w:rPr>
          <w:sz w:val="20"/>
          <w:szCs w:val="20"/>
          <w:color w:val="auto"/>
        </w:rPr>
      </w:pPr>
    </w:p>
    <w:p>
      <w:pPr>
        <w:jc w:val="both"/>
        <w:ind w:right="2099" w:firstLine="1996"/>
        <w:spacing w:after="0" w:line="567"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the meeting of Stockholders as it shall deem appropriate. At each meeting of Stockholders, the Chairman, or if there is no Chairman or if there be one and the Chairman is absent, the CEO, or in the absence of the CEO, the Lead Director, or in the absence of the Lead Director, the President, or in the absence of the President,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 (iv) restrictions on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5166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 w:name="page14"/>
    <w:bookmarkEnd w:id="13"/>
    <w:p>
      <w:pPr>
        <w:ind w:left="7580"/>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7" w:lineRule="auto"/>
        <w:rPr>
          <w:sz w:val="20"/>
          <w:szCs w:val="20"/>
          <w:color w:val="auto"/>
        </w:rPr>
      </w:pPr>
      <w:r>
        <w:rPr>
          <w:rFonts w:ascii="Arial" w:cs="Arial" w:eastAsia="Arial" w:hAnsi="Arial"/>
          <w:sz w:val="16"/>
          <w:szCs w:val="16"/>
          <w:color w:val="auto"/>
        </w:rPr>
        <w:t>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89" w:lineRule="exact"/>
        <w:rPr>
          <w:sz w:val="20"/>
          <w:szCs w:val="20"/>
          <w:color w:val="auto"/>
        </w:rPr>
      </w:pPr>
    </w:p>
    <w:p>
      <w:pPr>
        <w:jc w:val="both"/>
        <w:ind w:right="2099" w:firstLine="1996"/>
        <w:spacing w:after="0" w:line="570" w:lineRule="auto"/>
        <w:rPr>
          <w:sz w:val="20"/>
          <w:szCs w:val="20"/>
          <w:color w:val="auto"/>
        </w:rPr>
      </w:pPr>
      <w:r>
        <w:rPr>
          <w:rFonts w:ascii="Arial" w:cs="Arial" w:eastAsia="Arial" w:hAnsi="Arial"/>
          <w:sz w:val="16"/>
          <w:szCs w:val="16"/>
          <w:color w:val="auto"/>
        </w:rPr>
        <w:t xml:space="preserve">2.11.2. </w:t>
      </w:r>
      <w:r>
        <w:rPr>
          <w:rFonts w:ascii="Arial" w:cs="Arial" w:eastAsia="Arial" w:hAnsi="Arial"/>
          <w:sz w:val="16"/>
          <w:szCs w:val="16"/>
          <w:u w:val="single" w:color="auto"/>
          <w:color w:val="auto"/>
        </w:rPr>
        <w:t>Director Nominations</w:t>
      </w:r>
      <w:r>
        <w:rPr>
          <w:rFonts w:ascii="Arial" w:cs="Arial" w:eastAsia="Arial" w:hAnsi="Arial"/>
          <w:sz w:val="16"/>
          <w:szCs w:val="16"/>
          <w:color w:val="auto"/>
        </w:rPr>
        <w:t>: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 w:name="page15"/>
    <w:bookmarkEnd w:id="14"/>
    <w:p>
      <w:pPr>
        <w:ind w:left="758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119" w:firstLine="1996"/>
        <w:spacing w:after="0" w:line="611" w:lineRule="auto"/>
        <w:rPr>
          <w:sz w:val="20"/>
          <w:szCs w:val="20"/>
          <w:color w:val="auto"/>
        </w:rPr>
      </w:pPr>
      <w:r>
        <w:rPr>
          <w:rFonts w:ascii="Arial" w:cs="Arial" w:eastAsia="Arial" w:hAnsi="Arial"/>
          <w:sz w:val="15"/>
          <w:szCs w:val="15"/>
          <w:color w:val="auto"/>
        </w:rPr>
        <w:t xml:space="preserve">2.11.3. </w:t>
      </w:r>
      <w:r>
        <w:rPr>
          <w:rFonts w:ascii="Arial" w:cs="Arial" w:eastAsia="Arial" w:hAnsi="Arial"/>
          <w:sz w:val="15"/>
          <w:szCs w:val="15"/>
          <w:u w:val="single" w:color="auto"/>
          <w:color w:val="auto"/>
        </w:rPr>
        <w:t>Meeting Business</w:t>
      </w:r>
      <w:r>
        <w:rPr>
          <w:rFonts w:ascii="Arial" w:cs="Arial" w:eastAsia="Arial" w:hAnsi="Arial"/>
          <w:sz w:val="15"/>
          <w:szCs w:val="15"/>
          <w:color w:val="auto"/>
        </w:rPr>
        <w:t>: At any annual meeting of Stockholders, only such business shall be conducted as shall have been properly brought before the meeting. To be properly brought before an annual meeting of Stockholders, (i) business must be specified in the notice of meeting (or any supplement thereto) given by or at the direction of the Board, (ii) otherwise properly brought before the meeting by or at the direction of the Board or (iii) 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66" w:lineRule="exact"/>
        <w:rPr>
          <w:sz w:val="20"/>
          <w:szCs w:val="20"/>
          <w:color w:val="auto"/>
        </w:rPr>
      </w:pPr>
    </w:p>
    <w:p>
      <w:pPr>
        <w:jc w:val="both"/>
        <w:ind w:right="2099" w:firstLine="1996"/>
        <w:spacing w:after="0" w:line="568" w:lineRule="auto"/>
        <w:rPr>
          <w:sz w:val="20"/>
          <w:szCs w:val="20"/>
          <w:color w:val="auto"/>
        </w:rPr>
      </w:pPr>
      <w:r>
        <w:rPr>
          <w:rFonts w:ascii="Arial" w:cs="Arial" w:eastAsia="Arial" w:hAnsi="Arial"/>
          <w:sz w:val="16"/>
          <w:szCs w:val="16"/>
          <w:color w:val="auto"/>
        </w:rPr>
        <w:t xml:space="preserve">2.11.4. </w:t>
      </w:r>
      <w:r>
        <w:rPr>
          <w:rFonts w:ascii="Arial" w:cs="Arial" w:eastAsia="Arial" w:hAnsi="Arial"/>
          <w:sz w:val="16"/>
          <w:szCs w:val="16"/>
          <w:u w:val="single" w:color="auto"/>
          <w:color w:val="auto"/>
        </w:rPr>
        <w:t>Other Stockholder Proposals</w:t>
      </w:r>
      <w:r>
        <w:rPr>
          <w:rFonts w:ascii="Arial" w:cs="Arial" w:eastAsia="Arial" w:hAnsi="Arial"/>
          <w:sz w:val="16"/>
          <w:szCs w:val="16"/>
          <w:color w:val="auto"/>
        </w:rPr>
        <w:t>: In addition to any other applicable requirements, at any annual or special meeting of Stockholders (i) 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 to and not less than the later of (a) ninety (90) days prior to such special meeting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5166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 w:name="page16"/>
    <w:bookmarkEnd w:id="15"/>
    <w:p>
      <w:pPr>
        <w:ind w:left="758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8" w:lineRule="auto"/>
        <w:rPr>
          <w:sz w:val="20"/>
          <w:szCs w:val="20"/>
          <w:color w:val="auto"/>
        </w:rPr>
      </w:pPr>
      <w:r>
        <w:rPr>
          <w:rFonts w:ascii="Arial" w:cs="Arial" w:eastAsia="Arial" w:hAnsi="Arial"/>
          <w:sz w:val="16"/>
          <w:szCs w:val="16"/>
          <w:color w:val="auto"/>
        </w:rPr>
        <w:t>the tenth (10th) day following the day on which the notice of such special meeting was made by mail or Public Disclosure (as defined below); provided, however, that in the event that either (i) the annual meeting of Stockholders is advanced by more than thirty (30) days, or delayed by more than seventy (70) days, from the first anniversary of the prior year’s annual meeting of Stockholders, (ii) no annual meeting was held during the prior year or (iii) in the case of the Corporation’s first annual meeting of Stockholders following its IPO Date, notice by the Stockholder to be timely must be received (i) 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72" w:lineRule="exact"/>
        <w:rPr>
          <w:sz w:val="20"/>
          <w:szCs w:val="20"/>
          <w:color w:val="auto"/>
        </w:rPr>
      </w:pPr>
    </w:p>
    <w:p>
      <w:pPr>
        <w:jc w:val="both"/>
        <w:ind w:right="2119" w:firstLine="1297"/>
        <w:spacing w:after="0" w:line="563" w:lineRule="auto"/>
        <w:rPr>
          <w:sz w:val="20"/>
          <w:szCs w:val="20"/>
          <w:color w:val="auto"/>
        </w:rPr>
      </w:pPr>
      <w:r>
        <w:rPr>
          <w:rFonts w:ascii="Arial" w:cs="Arial" w:eastAsia="Arial" w:hAnsi="Arial"/>
          <w:sz w:val="16"/>
          <w:szCs w:val="16"/>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 Secretary, not later than the close of business on the tenth (10th) day following the day on which such public announcement is first made by the Corporation.</w:t>
      </w:r>
    </w:p>
    <w:p>
      <w:pPr>
        <w:spacing w:after="0" w:line="4" w:lineRule="exact"/>
        <w:rPr>
          <w:sz w:val="20"/>
          <w:szCs w:val="20"/>
          <w:color w:val="auto"/>
        </w:rPr>
      </w:pPr>
    </w:p>
    <w:p>
      <w:pPr>
        <w:jc w:val="both"/>
        <w:ind w:right="2119" w:firstLine="1297"/>
        <w:spacing w:after="0" w:line="519" w:lineRule="auto"/>
        <w:rPr>
          <w:sz w:val="20"/>
          <w:szCs w:val="20"/>
          <w:color w:val="auto"/>
        </w:rPr>
      </w:pPr>
      <w:r>
        <w:rPr>
          <w:rFonts w:ascii="Arial" w:cs="Arial" w:eastAsia="Arial" w:hAnsi="Arial"/>
          <w:sz w:val="18"/>
          <w:szCs w:val="18"/>
          <w:color w:val="auto"/>
        </w:rPr>
        <w:t>The Notice of Nomination shall set forth (i) the name and record address of the Stockholder and/or beneficial owner proposing to make nominations, as they appear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51669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 w:name="page17"/>
    <w:bookmarkEnd w:id="16"/>
    <w:p>
      <w:pPr>
        <w:ind w:left="758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3" w:lineRule="auto"/>
        <w:rPr>
          <w:sz w:val="20"/>
          <w:szCs w:val="20"/>
          <w:color w:val="auto"/>
        </w:rPr>
      </w:pPr>
      <w:r>
        <w:rPr>
          <w:rFonts w:ascii="Arial" w:cs="Arial" w:eastAsia="Arial" w:hAnsi="Arial"/>
          <w:sz w:val="16"/>
          <w:szCs w:val="16"/>
          <w:color w:val="auto"/>
        </w:rPr>
        <w:t>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 (v) all other information that would be required to be filed with the Securities and Exchange Commission if the person proposing such nominations were a participant in a solicitation subject to Section 14 of the Exchange Act or any 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pacing w:after="0" w:line="8" w:lineRule="exact"/>
        <w:rPr>
          <w:sz w:val="20"/>
          <w:szCs w:val="20"/>
          <w:color w:val="auto"/>
        </w:rPr>
      </w:pPr>
    </w:p>
    <w:p>
      <w:pPr>
        <w:jc w:val="both"/>
        <w:ind w:right="2099" w:firstLine="1297"/>
        <w:spacing w:after="0" w:line="563" w:lineRule="auto"/>
        <w:rPr>
          <w:sz w:val="20"/>
          <w:szCs w:val="20"/>
          <w:color w:val="auto"/>
        </w:rPr>
      </w:pPr>
      <w:r>
        <w:rPr>
          <w:rFonts w:ascii="Arial" w:cs="Arial" w:eastAsia="Arial" w:hAnsi="Arial"/>
          <w:sz w:val="16"/>
          <w:szCs w:val="16"/>
          <w:color w:val="auto"/>
        </w:rPr>
        <w:t>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w:t>
      </w:r>
    </w:p>
    <w:p>
      <w:pPr>
        <w:spacing w:after="0" w:line="2" w:lineRule="exact"/>
        <w:rPr>
          <w:sz w:val="20"/>
          <w:szCs w:val="20"/>
          <w:color w:val="auto"/>
        </w:rPr>
      </w:pPr>
    </w:p>
    <w:p>
      <w:pPr>
        <w:jc w:val="both"/>
        <w:ind w:right="2119" w:firstLine="8"/>
        <w:spacing w:after="0" w:line="588"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 w:name="page18"/>
    <w:bookmarkEnd w:id="17"/>
    <w:p>
      <w:pPr>
        <w:ind w:left="758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3" w:lineRule="auto"/>
        <w:rPr>
          <w:sz w:val="20"/>
          <w:szCs w:val="20"/>
          <w:color w:val="auto"/>
        </w:rPr>
      </w:pPr>
      <w:r>
        <w:rPr>
          <w:rFonts w:ascii="Arial" w:cs="Arial" w:eastAsia="Arial" w:hAnsi="Arial"/>
          <w:sz w:val="16"/>
          <w:szCs w:val="16"/>
          <w:color w:val="auto"/>
        </w:rPr>
        <w:t>(including the text of any resolutions proposed for consideration and, in the event that such business includes a proposal to amend the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provided, however, that nothing in this Section 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 of 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10"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51669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 w:name="page19"/>
    <w:bookmarkEnd w:id="18"/>
    <w:p>
      <w:pPr>
        <w:ind w:left="758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01" w:lineRule="auto"/>
        <w:rPr>
          <w:sz w:val="20"/>
          <w:szCs w:val="20"/>
          <w:color w:val="auto"/>
        </w:rPr>
      </w:pPr>
      <w:r>
        <w:rPr>
          <w:rFonts w:ascii="Arial" w:cs="Arial" w:eastAsia="Arial" w:hAnsi="Arial"/>
          <w:sz w:val="18"/>
          <w:szCs w:val="18"/>
          <w:color w:val="auto"/>
        </w:rPr>
        <w:t>applicable, such nomination shall be disregarded and such business shall not be transacted, notwithstanding that proxies in respect of such vote may have been received by the Corporation.</w:t>
      </w:r>
    </w:p>
    <w:p>
      <w:pPr>
        <w:jc w:val="both"/>
        <w:ind w:right="2099" w:firstLine="1297"/>
        <w:spacing w:after="0" w:line="501" w:lineRule="auto"/>
        <w:rPr>
          <w:sz w:val="20"/>
          <w:szCs w:val="20"/>
          <w:color w:val="auto"/>
        </w:rPr>
      </w:pPr>
      <w:r>
        <w:rPr>
          <w:rFonts w:ascii="Arial" w:cs="Arial" w:eastAsia="Arial" w:hAnsi="Arial"/>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jc w:val="both"/>
        <w:ind w:right="2099" w:firstLine="1297"/>
        <w:spacing w:after="0" w:line="568" w:lineRule="auto"/>
        <w:rPr>
          <w:sz w:val="20"/>
          <w:szCs w:val="20"/>
          <w:color w:val="auto"/>
        </w:rPr>
      </w:pPr>
      <w:r>
        <w:rPr>
          <w:rFonts w:ascii="Arial" w:cs="Arial" w:eastAsia="Arial" w:hAnsi="Arial"/>
          <w:sz w:val="16"/>
          <w:szCs w:val="16"/>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jc w:val="both"/>
        <w:ind w:right="2119" w:firstLine="1297"/>
        <w:spacing w:after="0" w:line="51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Order of Business</w:t>
      </w:r>
      <w:r>
        <w:rPr>
          <w:rFonts w:ascii="Arial" w:cs="Arial" w:eastAsia="Arial" w:hAnsi="Arial"/>
          <w:sz w:val="18"/>
          <w:szCs w:val="18"/>
          <w:color w:val="auto"/>
        </w:rPr>
        <w:t>. The order of business at all meetings of Stockholders shall be as determined by the person presiding over the meeting.</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color w:val="0000FF"/>
        </w:rPr>
        <w:t>ARTICLE 3</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0000FF"/>
        </w:rPr>
        <w:t>DIRECTORS</w:t>
      </w:r>
    </w:p>
    <w:p>
      <w:pPr>
        <w:spacing w:after="0" w:line="347" w:lineRule="exact"/>
        <w:rPr>
          <w:sz w:val="20"/>
          <w:szCs w:val="20"/>
          <w:color w:val="auto"/>
        </w:rPr>
      </w:pPr>
    </w:p>
    <w:p>
      <w:pPr>
        <w:jc w:val="both"/>
        <w:ind w:right="2119" w:firstLine="1297"/>
        <w:spacing w:after="0" w:line="58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Powers</w:t>
      </w:r>
      <w:r>
        <w:rPr>
          <w:rFonts w:ascii="Arial" w:cs="Arial" w:eastAsia="Arial" w:hAnsi="Arial"/>
          <w:sz w:val="16"/>
          <w:szCs w:val="16"/>
          <w:color w:val="auto"/>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 w:name="page20"/>
    <w:bookmarkEnd w:id="19"/>
    <w:p>
      <w:pPr>
        <w:ind w:left="758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119" w:firstLine="1297"/>
        <w:spacing w:after="0" w:line="56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Number; Qualification; Term of Office</w:t>
      </w:r>
      <w:r>
        <w:rPr>
          <w:rFonts w:ascii="Arial" w:cs="Arial" w:eastAsia="Arial" w:hAnsi="Arial"/>
          <w:sz w:val="16"/>
          <w:szCs w:val="16"/>
          <w:color w:val="auto"/>
        </w:rPr>
        <w:t>.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The 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 III. Class I Directors shall initially serve until the first annual meeting of Stockholders held after the IPO Date; Class II Directors shall initially serve until the second annual meeting of Stockholders held after the IPO Date; and Class III Directors shall initially serve until the third annual meeting of Stockholders held after the IPO Date. Commencing with the first annual meeting of Stockholders held after the IPO Date, Directors of each class the term of 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84" w:lineRule="exact"/>
        <w:rPr>
          <w:sz w:val="20"/>
          <w:szCs w:val="20"/>
          <w:color w:val="auto"/>
        </w:rPr>
      </w:pPr>
    </w:p>
    <w:p>
      <w:pPr>
        <w:jc w:val="both"/>
        <w:ind w:right="2119" w:firstLine="1297"/>
        <w:spacing w:after="0" w:line="5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Election</w:t>
      </w:r>
      <w:r>
        <w:rPr>
          <w:rFonts w:ascii="Arial" w:cs="Arial" w:eastAsia="Arial" w:hAnsi="Arial"/>
          <w:sz w:val="16"/>
          <w:szCs w:val="16"/>
          <w:color w:val="auto"/>
        </w:rPr>
        <w:t>. Directors shall, except as otherwise required by applicable law or by the Certificate of Incorporation, be elected by a plurality of the votes cast at a meeting of Stockholders by the holders of shares present in person or represented by proxy at the meeting and entitled to vote in the election.</w:t>
      </w:r>
    </w:p>
    <w:p>
      <w:pPr>
        <w:spacing w:after="0" w:line="66" w:lineRule="exact"/>
        <w:rPr>
          <w:sz w:val="20"/>
          <w:szCs w:val="20"/>
          <w:color w:val="auto"/>
        </w:rPr>
      </w:pPr>
    </w:p>
    <w:p>
      <w:pPr>
        <w:jc w:val="both"/>
        <w:ind w:right="2119" w:firstLine="1297"/>
        <w:spacing w:after="0" w:line="51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Unless otherwise provided by applicable law or the Certificate of Incorporation and subject to the rights of the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ind w:left="758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9" w:lineRule="auto"/>
        <w:rPr>
          <w:sz w:val="20"/>
          <w:szCs w:val="20"/>
          <w:color w:val="auto"/>
        </w:rPr>
      </w:pPr>
      <w:r>
        <w:rPr>
          <w:rFonts w:ascii="Arial" w:cs="Arial" w:eastAsia="Arial" w:hAnsi="Arial"/>
          <w:sz w:val="16"/>
          <w:szCs w:val="16"/>
          <w:color w:val="auto"/>
        </w:rPr>
        <w:t>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 future date, the Board may fill such vacancy to take effect when such resignation shall become effective in accordance with the General Corporation Law.</w:t>
      </w:r>
    </w:p>
    <w:p>
      <w:pPr>
        <w:spacing w:after="0" w:line="81" w:lineRule="exact"/>
        <w:rPr>
          <w:sz w:val="20"/>
          <w:szCs w:val="20"/>
          <w:color w:val="auto"/>
        </w:rPr>
      </w:pPr>
    </w:p>
    <w:p>
      <w:pPr>
        <w:jc w:val="both"/>
        <w:ind w:right="2099" w:firstLine="1297"/>
        <w:spacing w:after="0" w:line="50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notice given in writing or by electronic transmission to the Corporation. Such resignation shall take effect at the time therein specified, and, unless otherwise specified in such resignation, the acceptance of such resignation shall not be necessary to make it effective.</w:t>
      </w:r>
    </w:p>
    <w:p>
      <w:pPr>
        <w:spacing w:after="0" w:line="101" w:lineRule="exact"/>
        <w:rPr>
          <w:sz w:val="20"/>
          <w:szCs w:val="20"/>
          <w:color w:val="auto"/>
        </w:rPr>
      </w:pPr>
    </w:p>
    <w:p>
      <w:pPr>
        <w:jc w:val="both"/>
        <w:ind w:right="2099" w:firstLine="1297"/>
        <w:spacing w:after="0" w:line="50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Removal</w:t>
      </w:r>
      <w:r>
        <w:rPr>
          <w:rFonts w:ascii="Arial" w:cs="Arial" w:eastAsia="Arial" w:hAnsi="Arial"/>
          <w:sz w:val="18"/>
          <w:szCs w:val="18"/>
          <w:color w:val="auto"/>
        </w:rPr>
        <w:t>. Except for Preferred Stock Directors, any Director, or the Entire Board, may be removed from office at any time, but only for cause and only by the affirmative vote of at least 66-2/3% of the total voting power of the outstanding shares of stock of the Corporation entitled to vote generally in the election of Directors, voting together as a single class.</w:t>
      </w:r>
    </w:p>
    <w:p>
      <w:pPr>
        <w:spacing w:after="0" w:line="101"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Compensation</w:t>
      </w:r>
      <w:r>
        <w:rPr>
          <w:rFonts w:ascii="Arial" w:cs="Arial" w:eastAsia="Arial" w:hAnsi="Arial"/>
          <w:sz w:val="18"/>
          <w:szCs w:val="18"/>
          <w:color w:val="auto"/>
        </w:rPr>
        <w:t>. Each Director, in consideration of his or her service as such, shall be entitled to receive from the Corporation such amount per annum or such fees (payable in cash or equity) for attendance at Directors’ meetings, or both, as the Board may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5166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ind w:left="7580"/>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72" w:lineRule="auto"/>
        <w:rPr>
          <w:sz w:val="20"/>
          <w:szCs w:val="20"/>
          <w:color w:val="auto"/>
        </w:rPr>
      </w:pPr>
      <w:r>
        <w:rPr>
          <w:rFonts w:ascii="Arial" w:cs="Arial" w:eastAsia="Arial" w:hAnsi="Arial"/>
          <w:sz w:val="16"/>
          <w:szCs w:val="16"/>
          <w:color w:val="auto"/>
        </w:rPr>
        <w:t>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 preclude any Director from serving the Corporation or its subsidiaries in any other capacity and receiving proper compensation therefor.</w:t>
      </w:r>
    </w:p>
    <w:p>
      <w:pPr>
        <w:spacing w:after="0" w:line="77"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shall from time to time be determined by the Board.</w:t>
      </w:r>
    </w:p>
    <w:p>
      <w:pPr>
        <w:spacing w:after="0" w:line="99" w:lineRule="exact"/>
        <w:rPr>
          <w:sz w:val="20"/>
          <w:szCs w:val="20"/>
          <w:color w:val="auto"/>
        </w:rPr>
      </w:pPr>
    </w:p>
    <w:p>
      <w:pPr>
        <w:jc w:val="both"/>
        <w:ind w:right="2119" w:firstLine="1297"/>
        <w:spacing w:after="0" w:line="50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may be held at any time or place, within or without the State of Delaware, whenever called by the Chairman, the Lead Director,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105" w:lineRule="exact"/>
        <w:rPr>
          <w:sz w:val="20"/>
          <w:szCs w:val="20"/>
          <w:color w:val="auto"/>
        </w:rPr>
      </w:pPr>
    </w:p>
    <w:p>
      <w:pPr>
        <w:jc w:val="both"/>
        <w:ind w:right="2119" w:firstLine="1297"/>
        <w:spacing w:after="0" w:line="580"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Telephone Meetings</w:t>
      </w:r>
      <w:r>
        <w:rPr>
          <w:rFonts w:ascii="Arial" w:cs="Arial" w:eastAsia="Arial" w:hAnsi="Arial"/>
          <w:sz w:val="16"/>
          <w:szCs w:val="16"/>
          <w:color w:val="auto"/>
        </w:rPr>
        <w:t>.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5166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ind w:left="758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99" w:firstLine="1297"/>
        <w:spacing w:after="0" w:line="573"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Adjourned Meetings</w:t>
      </w:r>
      <w:r>
        <w:rPr>
          <w:rFonts w:ascii="Arial" w:cs="Arial" w:eastAsia="Arial" w:hAnsi="Arial"/>
          <w:sz w:val="16"/>
          <w:szCs w:val="16"/>
          <w:color w:val="auto"/>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 mail. Any business may be transacted at an adjourned meeting that might have been transacted at the meeting as originally called.</w:t>
      </w:r>
    </w:p>
    <w:p>
      <w:pPr>
        <w:spacing w:after="0" w:line="79" w:lineRule="exact"/>
        <w:rPr>
          <w:sz w:val="20"/>
          <w:szCs w:val="20"/>
          <w:color w:val="auto"/>
        </w:rPr>
      </w:pPr>
    </w:p>
    <w:p>
      <w:pPr>
        <w:jc w:val="both"/>
        <w:ind w:right="2099" w:firstLine="1297"/>
        <w:spacing w:after="0" w:line="57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Notice Procedure</w:t>
      </w:r>
      <w:r>
        <w:rPr>
          <w:rFonts w:ascii="Arial" w:cs="Arial" w:eastAsia="Arial" w:hAnsi="Arial"/>
          <w:sz w:val="16"/>
          <w:szCs w:val="16"/>
          <w:color w:val="auto"/>
        </w:rPr>
        <w:t>.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75" w:lineRule="exact"/>
        <w:rPr>
          <w:sz w:val="20"/>
          <w:szCs w:val="20"/>
          <w:color w:val="auto"/>
        </w:rPr>
      </w:pPr>
    </w:p>
    <w:p>
      <w:pPr>
        <w:jc w:val="both"/>
        <w:ind w:right="2099" w:firstLine="1297"/>
        <w:spacing w:after="0" w:line="570"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51669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ind w:left="758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99" w:firstLine="1297"/>
        <w:spacing w:after="0" w:line="50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Chairman, or in the absence of the Chairman, the Lead Director, or, in the absence of the Lead Director, the CEO or, in the absence of the CEO, a chairman chosen by a majority of the Directors present, shall preside.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104" w:lineRule="exact"/>
        <w:rPr>
          <w:sz w:val="20"/>
          <w:szCs w:val="20"/>
          <w:color w:val="auto"/>
        </w:rPr>
      </w:pPr>
    </w:p>
    <w:p>
      <w:pPr>
        <w:jc w:val="both"/>
        <w:ind w:right="2119" w:firstLine="1297"/>
        <w:spacing w:after="0" w:line="613"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Quorum of Directors</w:t>
      </w:r>
      <w:r>
        <w:rPr>
          <w:rFonts w:ascii="Arial" w:cs="Arial" w:eastAsia="Arial" w:hAnsi="Arial"/>
          <w:sz w:val="16"/>
          <w:szCs w:val="16"/>
          <w:color w:val="auto"/>
        </w:rPr>
        <w:t>. The presence in person of a majority of the Entire Board shall be necessary and sufficient to constitute a quorum for the transaction of business at any meeting of the Board.</w:t>
      </w:r>
    </w:p>
    <w:p>
      <w:pPr>
        <w:spacing w:after="0" w:line="46"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by Majority Vote</w:t>
      </w:r>
      <w:r>
        <w:rPr>
          <w:rFonts w:ascii="Arial" w:cs="Arial" w:eastAsia="Arial" w:hAnsi="Arial"/>
          <w:sz w:val="18"/>
          <w:szCs w:val="18"/>
          <w:color w:val="auto"/>
        </w:rPr>
        <w:t>. Except as otherwise expressly required by applicable law, the Certificate of Incorporation or these By-laws, the act of a majority of the Directors present at a meeting at which a quorum is present shall be the act of the Board.</w:t>
      </w:r>
    </w:p>
    <w:p>
      <w:pPr>
        <w:spacing w:after="0" w:line="99" w:lineRule="exact"/>
        <w:rPr>
          <w:sz w:val="20"/>
          <w:szCs w:val="20"/>
          <w:color w:val="auto"/>
        </w:rPr>
      </w:pPr>
    </w:p>
    <w:p>
      <w:pPr>
        <w:jc w:val="both"/>
        <w:ind w:right="2119" w:firstLine="1297"/>
        <w:spacing w:after="0" w:line="572"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Action Without Meeting</w:t>
      </w:r>
      <w:r>
        <w:rPr>
          <w:rFonts w:ascii="Arial" w:cs="Arial" w:eastAsia="Arial" w:hAnsi="Arial"/>
          <w:sz w:val="16"/>
          <w:szCs w:val="16"/>
          <w:color w:val="auto"/>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5166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ind w:left="758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0000FF"/>
        </w:rPr>
        <w:t>ARTICLE 4</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u w:val="single" w:color="auto"/>
          <w:color w:val="0000FF"/>
        </w:rPr>
        <w:t>COMMITTEES OF THE BOARD</w:t>
      </w:r>
    </w:p>
    <w:p>
      <w:pPr>
        <w:spacing w:after="0" w:line="333" w:lineRule="exact"/>
        <w:rPr>
          <w:sz w:val="20"/>
          <w:szCs w:val="20"/>
          <w:color w:val="auto"/>
        </w:rPr>
      </w:pPr>
    </w:p>
    <w:p>
      <w:pPr>
        <w:jc w:val="both"/>
        <w:ind w:right="2099" w:firstLine="1297"/>
        <w:spacing w:after="0" w:line="566" w:lineRule="auto"/>
        <w:rPr>
          <w:sz w:val="20"/>
          <w:szCs w:val="20"/>
          <w:color w:val="auto"/>
        </w:rPr>
      </w:pPr>
      <w:r>
        <w:rPr>
          <w:rFonts w:ascii="Arial" w:cs="Arial" w:eastAsia="Arial" w:hAnsi="Arial"/>
          <w:sz w:val="16"/>
          <w:szCs w:val="16"/>
          <w:color w:val="auto"/>
        </w:rPr>
        <w:t>The Board may, by resolution, designate one or more committees, each committee to consist of one or more of the Directors of the Corporation. The Board may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 conduct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51669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ind w:left="758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business in the same manner as the Board conducts its business pursuant to Article 3 of these By-laws.</w:t>
      </w:r>
    </w:p>
    <w:p>
      <w:pPr>
        <w:spacing w:after="0" w:line="356" w:lineRule="exact"/>
        <w:rPr>
          <w:sz w:val="20"/>
          <w:szCs w:val="20"/>
          <w:color w:val="auto"/>
        </w:rPr>
      </w:pPr>
    </w:p>
    <w:p>
      <w:pPr>
        <w:ind w:left="3620"/>
        <w:spacing w:after="0"/>
        <w:rPr>
          <w:sz w:val="20"/>
          <w:szCs w:val="20"/>
          <w:color w:val="auto"/>
        </w:rPr>
      </w:pPr>
      <w:r>
        <w:rPr>
          <w:rFonts w:ascii="Arial" w:cs="Arial" w:eastAsia="Arial" w:hAnsi="Arial"/>
          <w:sz w:val="18"/>
          <w:szCs w:val="18"/>
          <w:color w:val="0000FF"/>
        </w:rPr>
        <w:t>ARTICLE 5</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u w:val="single" w:color="auto"/>
          <w:color w:val="0000FF"/>
        </w:rPr>
        <w:t>OFFICERS</w:t>
      </w:r>
    </w:p>
    <w:p>
      <w:pPr>
        <w:spacing w:after="0" w:line="347" w:lineRule="exact"/>
        <w:rPr>
          <w:sz w:val="20"/>
          <w:szCs w:val="20"/>
          <w:color w:val="auto"/>
        </w:rPr>
      </w:pPr>
    </w:p>
    <w:p>
      <w:pPr>
        <w:jc w:val="both"/>
        <w:ind w:right="2099" w:firstLine="1297"/>
        <w:spacing w:after="0" w:line="57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Positions</w:t>
      </w:r>
      <w:r>
        <w:rPr>
          <w:rFonts w:ascii="Arial" w:cs="Arial" w:eastAsia="Arial" w:hAnsi="Arial"/>
          <w:sz w:val="16"/>
          <w:szCs w:val="16"/>
          <w:color w:val="auto"/>
        </w:rPr>
        <w:t>. The officers of the Corporation shall be a CEO, a President, a Secretary, a Treasurer and such other officers as the Board may elect, including a Chairman,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83" w:lineRule="exact"/>
        <w:rPr>
          <w:sz w:val="20"/>
          <w:szCs w:val="20"/>
          <w:color w:val="auto"/>
        </w:rPr>
      </w:pPr>
    </w:p>
    <w:p>
      <w:pPr>
        <w:jc w:val="both"/>
        <w:ind w:right="2119" w:firstLine="1297"/>
        <w:spacing w:after="0" w:line="51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Election</w:t>
      </w:r>
      <w:r>
        <w:rPr>
          <w:rFonts w:ascii="Arial" w:cs="Arial" w:eastAsia="Arial" w:hAnsi="Arial"/>
          <w:sz w:val="18"/>
          <w:szCs w:val="18"/>
          <w:color w:val="auto"/>
        </w:rPr>
        <w:t>. The officers of the Corporation shall be elected by the Board at its annual meeting or at such other time or times as the Board shall determine.</w:t>
      </w:r>
    </w:p>
    <w:p>
      <w:pPr>
        <w:spacing w:after="0" w:line="91" w:lineRule="exact"/>
        <w:rPr>
          <w:sz w:val="20"/>
          <w:szCs w:val="20"/>
          <w:color w:val="auto"/>
        </w:rPr>
      </w:pPr>
    </w:p>
    <w:p>
      <w:pPr>
        <w:jc w:val="both"/>
        <w:ind w:right="2099" w:firstLine="1297"/>
        <w:spacing w:after="0" w:line="57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 of Office</w:t>
      </w:r>
      <w:r>
        <w:rPr>
          <w:rFonts w:ascii="Arial" w:cs="Arial" w:eastAsia="Arial" w:hAnsi="Arial"/>
          <w:sz w:val="16"/>
          <w:szCs w:val="16"/>
          <w:color w:val="auto"/>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Any vacancy occurring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51669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ind w:left="758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510" w:lineRule="auto"/>
        <w:rPr>
          <w:sz w:val="20"/>
          <w:szCs w:val="20"/>
          <w:color w:val="auto"/>
        </w:rPr>
      </w:pPr>
      <w:r>
        <w:rPr>
          <w:rFonts w:ascii="Arial" w:cs="Arial" w:eastAsia="Arial" w:hAnsi="Arial"/>
          <w:sz w:val="18"/>
          <w:szCs w:val="18"/>
          <w:color w:val="auto"/>
        </w:rPr>
        <w:t>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99" w:lineRule="exact"/>
        <w:rPr>
          <w:sz w:val="20"/>
          <w:szCs w:val="20"/>
          <w:color w:val="auto"/>
        </w:rPr>
      </w:pPr>
    </w:p>
    <w:p>
      <w:pPr>
        <w:jc w:val="both"/>
        <w:ind w:right="2119" w:firstLine="1297"/>
        <w:spacing w:after="0" w:line="51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Fidelity Bonds</w:t>
      </w:r>
      <w:r>
        <w:rPr>
          <w:rFonts w:ascii="Arial" w:cs="Arial" w:eastAsia="Arial" w:hAnsi="Arial"/>
          <w:sz w:val="18"/>
          <w:szCs w:val="18"/>
          <w:color w:val="auto"/>
        </w:rPr>
        <w:t>. The Corporation may secure the fidelity of any or all of its officers or agents by bond or otherwise.</w:t>
      </w:r>
    </w:p>
    <w:p>
      <w:pPr>
        <w:spacing w:after="0" w:line="91"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if one shall have been appointed, shall preside at all meetings of the Board and shall exercise such powers and perform such other duties as shall be determined from time to time by resolution of the Board.</w:t>
      </w:r>
    </w:p>
    <w:p>
      <w:pPr>
        <w:spacing w:after="0" w:line="99" w:lineRule="exact"/>
        <w:rPr>
          <w:sz w:val="20"/>
          <w:szCs w:val="20"/>
          <w:color w:val="auto"/>
        </w:rPr>
      </w:pPr>
    </w:p>
    <w:p>
      <w:pPr>
        <w:jc w:val="both"/>
        <w:ind w:left="80" w:right="2099" w:firstLine="1297"/>
        <w:spacing w:after="0" w:line="57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Chairman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pacing w:after="0" w:line="78" w:lineRule="exact"/>
        <w:rPr>
          <w:sz w:val="20"/>
          <w:szCs w:val="20"/>
          <w:color w:val="auto"/>
        </w:rPr>
      </w:pPr>
    </w:p>
    <w:p>
      <w:pPr>
        <w:jc w:val="both"/>
        <w:ind w:left="80" w:right="2099" w:firstLine="1297"/>
        <w:spacing w:after="0" w:line="50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ind w:left="758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80" w:right="2119"/>
        <w:spacing w:after="0" w:line="504" w:lineRule="auto"/>
        <w:rPr>
          <w:sz w:val="20"/>
          <w:szCs w:val="20"/>
          <w:color w:val="auto"/>
        </w:rPr>
      </w:pPr>
      <w:r>
        <w:rPr>
          <w:rFonts w:ascii="Arial" w:cs="Arial" w:eastAsia="Arial" w:hAnsi="Arial"/>
          <w:sz w:val="18"/>
          <w:szCs w:val="18"/>
          <w:color w:val="auto"/>
        </w:rPr>
        <w:t>the Chairman (if there be one) and the Lead Director are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104" w:lineRule="exact"/>
        <w:rPr>
          <w:sz w:val="20"/>
          <w:szCs w:val="20"/>
          <w:color w:val="auto"/>
        </w:rPr>
      </w:pPr>
    </w:p>
    <w:p>
      <w:pPr>
        <w:jc w:val="both"/>
        <w:ind w:right="2119" w:firstLine="1297"/>
        <w:spacing w:after="0" w:line="50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101" w:lineRule="exact"/>
        <w:rPr>
          <w:sz w:val="20"/>
          <w:szCs w:val="20"/>
          <w:color w:val="auto"/>
        </w:rPr>
      </w:pPr>
    </w:p>
    <w:p>
      <w:pPr>
        <w:jc w:val="both"/>
        <w:ind w:right="2119" w:firstLine="1297"/>
        <w:spacing w:after="0" w:line="58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Controller</w:t>
      </w:r>
      <w:r>
        <w:rPr>
          <w:rFonts w:ascii="Arial" w:cs="Arial" w:eastAsia="Arial" w:hAnsi="Arial"/>
          <w:sz w:val="16"/>
          <w:szCs w:val="16"/>
          <w:color w:val="auto"/>
        </w:rPr>
        <w:t>.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66" w:lineRule="exact"/>
        <w:rPr>
          <w:sz w:val="20"/>
          <w:szCs w:val="20"/>
          <w:color w:val="auto"/>
        </w:rPr>
      </w:pPr>
    </w:p>
    <w:p>
      <w:pPr>
        <w:jc w:val="both"/>
        <w:ind w:right="2119" w:firstLine="1297"/>
        <w:spacing w:after="0" w:line="57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Vice Presidents</w:t>
      </w:r>
      <w:r>
        <w:rPr>
          <w:rFonts w:ascii="Arial" w:cs="Arial" w:eastAsia="Arial" w:hAnsi="Arial"/>
          <w:sz w:val="16"/>
          <w:szCs w:val="16"/>
          <w:color w:val="auto"/>
        </w:rPr>
        <w:t>. The Vice-Presidents shall perform such duties as may from time to time be assigned to such Vice Presidents by the CEO, the President or resolution of the Board. At the request of the CEO or, in the absence of the CEO,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ind w:left="758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07" w:lineRule="auto"/>
        <w:rPr>
          <w:sz w:val="20"/>
          <w:szCs w:val="20"/>
          <w:color w:val="auto"/>
        </w:rPr>
      </w:pPr>
      <w:r>
        <w:rPr>
          <w:rFonts w:ascii="Arial" w:cs="Arial" w:eastAsia="Arial" w:hAnsi="Arial"/>
          <w:sz w:val="18"/>
          <w:szCs w:val="18"/>
          <w:color w:val="auto"/>
        </w:rPr>
        <w:t>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101" w:lineRule="exact"/>
        <w:rPr>
          <w:sz w:val="20"/>
          <w:szCs w:val="20"/>
          <w:color w:val="auto"/>
        </w:rPr>
      </w:pPr>
    </w:p>
    <w:p>
      <w:pPr>
        <w:jc w:val="both"/>
        <w:ind w:right="2099" w:firstLine="1297"/>
        <w:spacing w:after="0" w:line="567"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 the CEO,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84" w:lineRule="exact"/>
        <w:rPr>
          <w:sz w:val="20"/>
          <w:szCs w:val="20"/>
          <w:color w:val="auto"/>
        </w:rPr>
      </w:pPr>
    </w:p>
    <w:p>
      <w:pPr>
        <w:jc w:val="both"/>
        <w:ind w:right="2119" w:firstLine="1297"/>
        <w:spacing w:after="0" w:line="51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and custody of, and be responsible for, all funds, securities and notes of the Corporation; receive and give receipts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ind w:left="758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567" w:lineRule="auto"/>
        <w:rPr>
          <w:sz w:val="20"/>
          <w:szCs w:val="20"/>
          <w:color w:val="auto"/>
        </w:rPr>
      </w:pPr>
      <w:r>
        <w:rPr>
          <w:rFonts w:ascii="Arial" w:cs="Arial" w:eastAsia="Arial" w:hAnsi="Arial"/>
          <w:sz w:val="16"/>
          <w:szCs w:val="16"/>
          <w:color w:val="auto"/>
        </w:rPr>
        <w:t>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by the CEO or by the President.</w:t>
      </w:r>
    </w:p>
    <w:p>
      <w:pPr>
        <w:spacing w:after="0" w:line="89"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Assistant Secretaries and Assistant Treasurers shall perform such duties as shall be assigned to them by the Secretary or by the Treasurer, respectively, or by resolution of the Board, by the CEO or by the President.</w:t>
      </w:r>
    </w:p>
    <w:p>
      <w:pPr>
        <w:spacing w:after="0" w:line="85"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0000FF"/>
        </w:rPr>
        <w:t>ARTICLE 6</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u w:val="single" w:color="auto"/>
          <w:color w:val="0000FF"/>
        </w:rPr>
        <w:t>INDEMNIFICATION</w:t>
      </w:r>
    </w:p>
    <w:p>
      <w:pPr>
        <w:spacing w:after="0" w:line="347" w:lineRule="exact"/>
        <w:rPr>
          <w:sz w:val="20"/>
          <w:szCs w:val="20"/>
          <w:color w:val="auto"/>
        </w:rPr>
      </w:pPr>
    </w:p>
    <w:p>
      <w:pPr>
        <w:jc w:val="both"/>
        <w:ind w:right="2119" w:firstLine="1297"/>
        <w:spacing w:after="0" w:line="51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The Corporation shall indemnify and hold harmless, to the fullest extent permitted by applicable law as it presently exists or may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ind w:left="758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99"/>
        <w:spacing w:after="0" w:line="568" w:lineRule="auto"/>
        <w:rPr>
          <w:sz w:val="20"/>
          <w:szCs w:val="20"/>
          <w:color w:val="auto"/>
        </w:rPr>
      </w:pPr>
      <w:r>
        <w:rPr>
          <w:rFonts w:ascii="Arial" w:cs="Arial" w:eastAsia="Arial" w:hAnsi="Arial"/>
          <w:sz w:val="16"/>
          <w:szCs w:val="16"/>
          <w:color w:val="auto"/>
        </w:rPr>
        <w:t>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86" w:lineRule="exact"/>
        <w:rPr>
          <w:sz w:val="20"/>
          <w:szCs w:val="20"/>
          <w:color w:val="auto"/>
        </w:rPr>
      </w:pPr>
    </w:p>
    <w:p>
      <w:pPr>
        <w:jc w:val="both"/>
        <w:ind w:right="2099" w:firstLine="1297"/>
        <w:spacing w:after="0" w:line="50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Prepayment of Expenses</w:t>
      </w:r>
      <w:r>
        <w:rPr>
          <w:rFonts w:ascii="Arial" w:cs="Arial" w:eastAsia="Arial" w:hAnsi="Arial"/>
          <w:sz w:val="18"/>
          <w:szCs w:val="18"/>
          <w:color w:val="auto"/>
        </w:rPr>
        <w:t xml:space="preserve">. The Corporation shall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05" w:lineRule="exact"/>
        <w:rPr>
          <w:sz w:val="20"/>
          <w:szCs w:val="20"/>
          <w:color w:val="auto"/>
        </w:rPr>
      </w:pPr>
    </w:p>
    <w:p>
      <w:pPr>
        <w:jc w:val="both"/>
        <w:ind w:right="2119" w:firstLine="1297"/>
        <w:spacing w:after="0" w:line="50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ind w:left="7580"/>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613" w:lineRule="auto"/>
        <w:rPr>
          <w:sz w:val="20"/>
          <w:szCs w:val="20"/>
          <w:color w:val="auto"/>
        </w:rPr>
      </w:pPr>
      <w:r>
        <w:rPr>
          <w:rFonts w:ascii="Arial" w:cs="Arial" w:eastAsia="Arial" w:hAnsi="Arial"/>
          <w:sz w:val="16"/>
          <w:szCs w:val="16"/>
          <w:color w:val="auto"/>
        </w:rPr>
        <w:t>prosecuting such claim. In any such action the Corporation shall have the burden of proving that the Covered Person is not entitled to the requested indemnification or advancement of expenses under applicable law.</w:t>
      </w:r>
    </w:p>
    <w:p>
      <w:pPr>
        <w:spacing w:after="0" w:line="46" w:lineRule="exact"/>
        <w:rPr>
          <w:sz w:val="20"/>
          <w:szCs w:val="20"/>
          <w:color w:val="auto"/>
        </w:rPr>
      </w:pPr>
    </w:p>
    <w:p>
      <w:pPr>
        <w:jc w:val="both"/>
        <w:ind w:right="2099" w:firstLine="1297"/>
        <w:spacing w:after="0" w:line="50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101" w:lineRule="exact"/>
        <w:rPr>
          <w:sz w:val="20"/>
          <w:szCs w:val="20"/>
          <w:color w:val="auto"/>
        </w:rPr>
      </w:pPr>
    </w:p>
    <w:p>
      <w:pPr>
        <w:jc w:val="both"/>
        <w:ind w:right="2119" w:firstLine="1297"/>
        <w:spacing w:after="0" w:line="50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01"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99" w:lineRule="exact"/>
        <w:rPr>
          <w:sz w:val="20"/>
          <w:szCs w:val="20"/>
          <w:color w:val="auto"/>
        </w:rPr>
      </w:pPr>
    </w:p>
    <w:p>
      <w:pPr>
        <w:jc w:val="both"/>
        <w:ind w:right="2119" w:firstLine="1297"/>
        <w:spacing w:after="0" w:line="58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Other Indemnification and Prepayment of Expenses</w:t>
      </w:r>
      <w:r>
        <w:rPr>
          <w:rFonts w:ascii="Arial" w:cs="Arial" w:eastAsia="Arial" w:hAnsi="Arial"/>
          <w:sz w:val="16"/>
          <w:szCs w:val="16"/>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51669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ind w:left="7580"/>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0000FF"/>
        </w:rPr>
        <w:t>ARTICLE 7</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u w:val="single" w:color="auto"/>
          <w:color w:val="0000FF"/>
        </w:rPr>
        <w:t>GENERAL PROVISIONS</w:t>
      </w:r>
    </w:p>
    <w:p>
      <w:pPr>
        <w:spacing w:after="0" w:line="347" w:lineRule="exact"/>
        <w:rPr>
          <w:sz w:val="20"/>
          <w:szCs w:val="20"/>
          <w:color w:val="auto"/>
        </w:rPr>
      </w:pPr>
    </w:p>
    <w:p>
      <w:pPr>
        <w:jc w:val="both"/>
        <w:ind w:right="2099" w:firstLine="1297"/>
        <w:spacing w:after="0" w:line="608"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Certificates Representing Shares</w:t>
      </w:r>
      <w:r>
        <w:rPr>
          <w:rFonts w:ascii="Arial" w:cs="Arial" w:eastAsia="Arial" w:hAnsi="Arial"/>
          <w:sz w:val="15"/>
          <w:szCs w:val="15"/>
          <w:color w:val="auto"/>
        </w:rPr>
        <w:t>. The shares of stock of the Corporation shall be represented by certificates, or shall be uncertificated shares that may be evidenced by a book-entry system maintained by the registrar of such stock, or a combination of both. To the extent that shares are represented by certificates, such certificates shall be in such form as shall be approved by the Board. Every holder of stock, upon such holder’s request therefor, shall be entitled to have a certificate signed by or in the name of the Corporation by the Chairman, if any, the CEO,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69" w:lineRule="exact"/>
        <w:rPr>
          <w:sz w:val="20"/>
          <w:szCs w:val="20"/>
          <w:color w:val="auto"/>
        </w:rPr>
      </w:pPr>
    </w:p>
    <w:p>
      <w:pPr>
        <w:jc w:val="both"/>
        <w:ind w:right="2119" w:firstLine="1297"/>
        <w:spacing w:after="0" w:line="51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99" w:lineRule="exact"/>
        <w:rPr>
          <w:sz w:val="20"/>
          <w:szCs w:val="20"/>
          <w:color w:val="auto"/>
        </w:rPr>
      </w:pPr>
    </w:p>
    <w:p>
      <w:pPr>
        <w:jc w:val="both"/>
        <w:ind w:right="2099" w:firstLine="1297"/>
        <w:spacing w:after="0" w:line="50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51669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ind w:left="7580"/>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119"/>
        <w:spacing w:after="0" w:line="519" w:lineRule="auto"/>
        <w:rPr>
          <w:sz w:val="20"/>
          <w:szCs w:val="20"/>
          <w:color w:val="auto"/>
        </w:rPr>
      </w:pPr>
      <w:r>
        <w:rPr>
          <w:rFonts w:ascii="Arial" w:cs="Arial" w:eastAsia="Arial" w:hAnsi="Arial"/>
          <w:sz w:val="18"/>
          <w:szCs w:val="18"/>
          <w:color w:val="auto"/>
        </w:rPr>
        <w:t>indemnify it against any claim that may be made against it on account of the alleged loss, theft or destruction of any such certificate or the issuance of such new certificate.</w:t>
      </w:r>
    </w:p>
    <w:p>
      <w:pPr>
        <w:spacing w:after="0" w:line="91" w:lineRule="exact"/>
        <w:rPr>
          <w:sz w:val="20"/>
          <w:szCs w:val="20"/>
          <w:color w:val="auto"/>
        </w:rPr>
      </w:pPr>
    </w:p>
    <w:p>
      <w:pPr>
        <w:jc w:val="both"/>
        <w:ind w:right="2119" w:firstLine="1297"/>
        <w:spacing w:after="0" w:line="57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Form of Records</w:t>
      </w:r>
      <w:r>
        <w:rPr>
          <w:rFonts w:ascii="Arial" w:cs="Arial" w:eastAsia="Arial" w:hAnsi="Arial"/>
          <w:sz w:val="16"/>
          <w:szCs w:val="16"/>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75" w:lineRule="exact"/>
        <w:rPr>
          <w:sz w:val="20"/>
          <w:szCs w:val="20"/>
          <w:color w:val="auto"/>
        </w:rPr>
      </w:pPr>
    </w:p>
    <w:p>
      <w:pPr>
        <w:jc w:val="both"/>
        <w:ind w:right="2099" w:firstLine="1297"/>
        <w:spacing w:after="0" w:line="510"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9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resolution of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347" w:lineRule="exact"/>
        <w:rPr>
          <w:sz w:val="20"/>
          <w:szCs w:val="20"/>
          <w:color w:val="auto"/>
        </w:rPr>
      </w:pPr>
    </w:p>
    <w:p>
      <w:pPr>
        <w:jc w:val="both"/>
        <w:ind w:right="2119" w:firstLine="1297"/>
        <w:spacing w:after="0" w:line="57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Amendments</w:t>
      </w:r>
      <w:r>
        <w:rPr>
          <w:rFonts w:ascii="Arial" w:cs="Arial" w:eastAsia="Arial" w:hAnsi="Arial"/>
          <w:sz w:val="16"/>
          <w:szCs w:val="16"/>
          <w:color w:val="auto"/>
        </w:rPr>
        <w:t>. Subject to the provisions of the Certificate of Incorporation, these By-laws may be altered, amended or repealed and new By-laws may be adopted either (i) by the Board or (ii) by the affirmative vote of at least 66-2/3%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2019-12-15T10:53:21Z</dcterms:created>
  <dcterms:modified xsi:type="dcterms:W3CDTF">2019-12-15T10:53:21Z</dcterms:modified>
</cp:coreProperties>
</file>