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Date of Report (Date of earliest event reported): May 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420"/>
          </w:cols>
          <w:pgMar w:left="240" w:top="301"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540"/>
          </w:cols>
          <w:pgMar w:left="240" w:top="301"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39"/>
        <w:spacing w:after="0"/>
        <w:rPr>
          <w:sz w:val="20"/>
          <w:szCs w:val="20"/>
          <w:color w:val="auto"/>
        </w:rPr>
      </w:pPr>
      <w:r>
        <w:rPr>
          <w:rFonts w:ascii="Arial" w:cs="Arial" w:eastAsia="Arial" w:hAnsi="Arial"/>
          <w:sz w:val="15"/>
          <w:szCs w:val="15"/>
          <w:b w:val="1"/>
          <w:bCs w:val="1"/>
          <w:color w:val="auto"/>
        </w:rPr>
        <w:t>Registrant’s telephone number, including area code: (212) 277-7100</w:t>
      </w:r>
    </w:p>
    <w:p>
      <w:pPr>
        <w:spacing w:after="0" w:line="20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May 6, 2009, ExlService Holdings, Inc. (the “Company”) reported its results of operations for the three months ended March 31, 2009. A copy of the press release issued by the Company concerning the foregoing is furnished herewith as Exhibit 99.1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2740" w:type="dxa"/>
            <w:vAlign w:val="bottom"/>
            <w:gridSpan w:val="3"/>
          </w:tcPr>
          <w:p>
            <w:pPr>
              <w:ind w:left="360"/>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18"/>
                <w:szCs w:val="18"/>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Press</w:t>
            </w:r>
          </w:p>
        </w:tc>
        <w:tc>
          <w:tcPr>
            <w:tcW w:w="1920" w:type="dxa"/>
            <w:vAlign w:val="bottom"/>
          </w:tcPr>
          <w:p>
            <w:pPr>
              <w:spacing w:after="0"/>
              <w:rPr>
                <w:sz w:val="20"/>
                <w:szCs w:val="20"/>
                <w:color w:val="auto"/>
              </w:rPr>
            </w:pPr>
            <w:r>
              <w:rPr>
                <w:rFonts w:ascii="Arial" w:cs="Arial" w:eastAsia="Arial" w:hAnsi="Arial"/>
                <w:sz w:val="18"/>
                <w:szCs w:val="18"/>
                <w:color w:val="auto"/>
                <w:w w:val="84"/>
              </w:rPr>
              <w:t>Release, dated May 6, 2009</w:t>
            </w:r>
          </w:p>
        </w:tc>
      </w:tr>
    </w:tbl>
    <w:p>
      <w:pPr>
        <w:sectPr>
          <w:pgSz w:w="11900" w:h="16838" w:orient="portrait"/>
          <w:cols w:equalWidth="0" w:num="1">
            <w:col w:w="11220"/>
          </w:cols>
          <w:pgMar w:left="240" w:top="27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19"/>
                <w:szCs w:val="19"/>
                <w:color w:val="auto"/>
              </w:rPr>
            </w:pPr>
          </w:p>
        </w:tc>
        <w:tc>
          <w:tcPr>
            <w:tcW w:w="8020" w:type="dxa"/>
            <w:vAlign w:val="bottom"/>
            <w:gridSpan w:val="2"/>
          </w:tcPr>
          <w:p>
            <w:pPr>
              <w:ind w:left="2340"/>
              <w:spacing w:after="0"/>
              <w:rPr>
                <w:sz w:val="20"/>
                <w:szCs w:val="20"/>
                <w:color w:val="auto"/>
              </w:rPr>
            </w:pPr>
            <w:r>
              <w:rPr>
                <w:rFonts w:ascii="Arial" w:cs="Arial" w:eastAsia="Arial" w:hAnsi="Arial"/>
                <w:sz w:val="18"/>
                <w:szCs w:val="18"/>
                <w:color w:val="auto"/>
              </w:rPr>
              <w:t>(Registrant)</w:t>
            </w:r>
          </w:p>
        </w:tc>
      </w:tr>
      <w:tr>
        <w:trPr>
          <w:trHeight w:val="414"/>
        </w:trPr>
        <w:tc>
          <w:tcPr>
            <w:tcW w:w="3400" w:type="dxa"/>
            <w:vAlign w:val="bottom"/>
          </w:tcPr>
          <w:p>
            <w:pPr>
              <w:spacing w:after="0"/>
              <w:rPr>
                <w:sz w:val="20"/>
                <w:szCs w:val="20"/>
                <w:color w:val="auto"/>
              </w:rPr>
            </w:pPr>
            <w:r>
              <w:rPr>
                <w:rFonts w:ascii="Arial" w:cs="Arial" w:eastAsia="Arial" w:hAnsi="Arial"/>
                <w:sz w:val="18"/>
                <w:szCs w:val="18"/>
                <w:color w:val="auto"/>
              </w:rPr>
              <w:t>Date: May 6, 2009</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Appel</w:t>
            </w:r>
          </w:p>
        </w:tc>
      </w:tr>
      <w:tr>
        <w:trPr>
          <w:trHeight w:val="215"/>
        </w:trPr>
        <w:tc>
          <w:tcPr>
            <w:tcW w:w="340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Matt Appel</w:t>
            </w:r>
          </w:p>
        </w:tc>
      </w:tr>
      <w:tr>
        <w:trPr>
          <w:trHeight w:val="222"/>
        </w:trPr>
        <w:tc>
          <w:tcPr>
            <w:tcW w:w="3400" w:type="dxa"/>
            <w:vAlign w:val="bottom"/>
          </w:tcPr>
          <w:p>
            <w:pPr>
              <w:spacing w:after="0"/>
              <w:rPr>
                <w:sz w:val="19"/>
                <w:szCs w:val="19"/>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040" w:type="dxa"/>
            <w:vAlign w:val="bottom"/>
            <w:gridSpan w:val="3"/>
          </w:tcPr>
          <w:p>
            <w:pPr>
              <w:ind w:left="680"/>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Press</w:t>
            </w:r>
          </w:p>
        </w:tc>
        <w:tc>
          <w:tcPr>
            <w:tcW w:w="1900" w:type="dxa"/>
            <w:vAlign w:val="bottom"/>
          </w:tcPr>
          <w:p>
            <w:pPr>
              <w:spacing w:after="0"/>
              <w:rPr>
                <w:sz w:val="20"/>
                <w:szCs w:val="20"/>
                <w:color w:val="auto"/>
              </w:rPr>
            </w:pPr>
            <w:r>
              <w:rPr>
                <w:rFonts w:ascii="Arial" w:cs="Arial" w:eastAsia="Arial" w:hAnsi="Arial"/>
                <w:sz w:val="18"/>
                <w:szCs w:val="18"/>
                <w:color w:val="auto"/>
                <w:w w:val="83"/>
              </w:rPr>
              <w:t>Release, dated May 6, 2009</w:t>
            </w:r>
          </w:p>
        </w:tc>
      </w:tr>
    </w:tbl>
    <w:p>
      <w:pPr>
        <w:sectPr>
          <w:pgSz w:w="11900" w:h="16838" w:orient="portrait"/>
          <w:cols w:equalWidth="0" w:num="1">
            <w:col w:w="9699"/>
          </w:cols>
          <w:pgMar w:left="76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87"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color w:val="auto"/>
        </w:rPr>
        <w:t xml:space="preserve">EXL REPORTS 2009 FIRST QUARTER RESULTS </w:t>
      </w:r>
      <w:r>
        <w:rPr>
          <w:rFonts w:ascii="Arial" w:cs="Arial" w:eastAsia="Arial" w:hAnsi="Arial"/>
          <w:sz w:val="18"/>
          <w:szCs w:val="18"/>
          <w:b w:val="1"/>
          <w:bCs w:val="1"/>
          <w:i w:val="1"/>
          <w:iCs w:val="1"/>
          <w:color w:val="auto"/>
        </w:rPr>
        <w:t>First Quarter Income from Operations up 69.0% First Quarter Operating Margin of 10.4%; Adjusted Operating Margin of 14.2%</w:t>
      </w:r>
    </w:p>
    <w:p>
      <w:pPr>
        <w:spacing w:after="0" w:line="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New York, NY – May 6, 2009 – ExlService Holdings, Inc. (NASDAQ: EXLS), a leading provider of outsourcing and transformation services, today announced its financial results for the quarter ended March 31, 2009.</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Rohit Kapoor, President and CEO, commented: “EXL continues to navigate effectively in this difficult economic environment. This quarter, EXL renewed and expanded two significant client contracts, each with an expected total contract value in excess of $100 million demonstrating our success in growing increasingly larger outsourcing contracts. We have also reduced our general and administrative expenses while continuing investments in sales and marketing to facilitate long-term growth. As expected, our transformation business slowed this quarter. However, we are pleased with the growth opportunities we see in annuity-based offshore transformation services. Operationally, our attrition management and employee engagement program, in combination with the weaker economy, has resulted in record low attrition levels.”</w:t>
      </w:r>
    </w:p>
    <w:p>
      <w:pPr>
        <w:spacing w:after="0" w:line="14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Matt Appel, CFO, commented: “EXL’s results for the quarter met our expectations in terms of revenues and exceeded our expectations in terms of margins. Despite the expected softness in the transformation business, we have continued to aggressively manage costs resulting in an adjusted operating margin of 14.2%. This demonstrates the strength of our business model and our ability to manage cost in this challenging and uncertain environment. We remain a safe and secure partner for our clients with our robust balance sheet. We are maintaining our calendar year 2009 guidance for revenues of $170.0 million to $175.0 million and now expect to be at the top end of our adjusted operating margin guidance of 10.0% to 12.0%.”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Financial highlights are based on continuing operations of the Company and exclude the Aviva BOT, which is treated as a discontinued operation as of the third quarter of 2008. Reconciliations of adjusted financial measures to GAAP are included at the end of this release.</w:t>
      </w:r>
    </w:p>
    <w:p>
      <w:pPr>
        <w:spacing w:after="0" w:line="51" w:lineRule="exact"/>
        <w:rPr>
          <w:sz w:val="20"/>
          <w:szCs w:val="20"/>
          <w:color w:val="auto"/>
        </w:rPr>
      </w:pPr>
    </w:p>
    <w:p>
      <w:pPr>
        <w:ind w:left="900" w:right="14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March 31, 2009 were $41.0 million compared to $44.4 million for the quarter ended March 31, 2008 and $43.7 million for the quarter ended December 31, 2008. Revenues attributable to outsourcing services for the quarter ended March 31, 2009 were $33.4 million compared to $34.9 million in the quarter ended March 31, 2008 and $33.2 million in the quarter ended December 31 2008. Transformation services revenues for the quarter ended March 31, 2009 were $7.6 million compared to $9.5 million in the quarter ended March 31, 2008 and $10.5 million in the quarter ended December 31, 2008.</w:t>
      </w:r>
    </w:p>
    <w:p>
      <w:pPr>
        <w:spacing w:after="0" w:line="61" w:lineRule="exact"/>
        <w:rPr>
          <w:rFonts w:ascii="Arial" w:cs="Arial" w:eastAsia="Arial" w:hAnsi="Arial"/>
          <w:sz w:val="18"/>
          <w:szCs w:val="18"/>
          <w:color w:val="auto"/>
        </w:rPr>
      </w:pPr>
    </w:p>
    <w:p>
      <w:pPr>
        <w:ind w:left="900" w:right="14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for the quarter ended March 31, 2009 was 40.6% compared to 35.6% for the quarter ended March 31, 2008 and 41.6% for the quarter ended December 31, 2008. Gross margin for outsourcing services was 45.3% for the quarter ended March 31, 2009 compared to 43.7% for the quarter ended December 31, 2008. Transformation services gross margin was 19.7% for the quarter ended March 31, 2009 compared to 34.9% for the quarter ended December 31, 2008.</w:t>
      </w:r>
    </w:p>
    <w:p>
      <w:pPr>
        <w:spacing w:after="0" w:line="62" w:lineRule="exact"/>
        <w:rPr>
          <w:rFonts w:ascii="Arial" w:cs="Arial" w:eastAsia="Arial" w:hAnsi="Arial"/>
          <w:sz w:val="18"/>
          <w:szCs w:val="18"/>
          <w:color w:val="auto"/>
        </w:rPr>
      </w:pPr>
    </w:p>
    <w:p>
      <w:pPr>
        <w:ind w:left="900" w:right="36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March 31, 2009 was 10.4%, compared to 5.7% for the quarter ended March 31, 2008 and 12.4% for the quarter ended December 31, 2008; adjusted operating margin, excluding the impact of stock-based compensation expense and amortization of intangibles, for the quarter ended March 31, 2009 was 14.2% compared to 8.4% for the quarter ended March 31, 2008 and 14.4% for the quarter ended December 31, 2008.</w:t>
      </w:r>
    </w:p>
    <w:p>
      <w:pPr>
        <w:spacing w:after="0" w:line="62"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to common stockholders for the quarter ended March 31, 2009 was $0.10 compared to $0.16 for the quarter ended March 31, 2008 and $0.12 for the quarter ended December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Announcements</w:t>
      </w:r>
    </w:p>
    <w:p>
      <w:pPr>
        <w:spacing w:after="0" w:line="96" w:lineRule="exact"/>
        <w:rPr>
          <w:sz w:val="20"/>
          <w:szCs w:val="20"/>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strategic outsourcing relationships with the migration of 15 new outsourcing processes during the quarter. Migrating processes for four recently acquired clients.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Gained significant traction in expanding relationships in transformation services that are annuity-based across clients in insurance, retail banking and credit cards.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record low quarterly attrition of 21.0% for billable employees compared to 34.3% for the first quarter of 2008 and 33.8% for the fourth quarter of 2008.</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Extended the scope of a contract with a top 10 U.S. insurance company including a contract value anticipated to exceed $100 million over 5 years to provide insurance domain-specific processing, analytics, and finance and accounting services.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Renewed a strategic outsourcing contract with our largest client, Centrica, PLC (British Gas), through April 2012 with the option to further extend the contract for two annual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Announcements</w:t>
      </w:r>
    </w:p>
    <w:p>
      <w:pPr>
        <w:spacing w:after="0" w:line="96" w:lineRule="exact"/>
        <w:rPr>
          <w:sz w:val="20"/>
          <w:szCs w:val="20"/>
          <w:color w:val="auto"/>
        </w:rPr>
      </w:pPr>
    </w:p>
    <w:p>
      <w:pPr>
        <w:ind w:left="900" w:right="60" w:hanging="325"/>
        <w:spacing w:after="0" w:line="298" w:lineRule="auto"/>
        <w:tabs>
          <w:tab w:leader="none" w:pos="9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Vishal Chhibbar will join EXL as Chief Financial Officer effective June 1, 2009. Vishal joins from GE Capital where he was most recently Regional Head, Group Financial Planning, Strategy and Treasury for Australia and New Zealand. Previously, Vishal was the Chief Financial Officer for GE Capital South Korea and prior to that assignment the Chief Financial Officer for GE Capital Indonesia and Malaysia. Vishal is a Chartered Accountant and holds a Bachelor of Commerce degree from DAV College, Dehradun.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maintaining its guidance for calendar year 2009:</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between $170.0 million to $175.0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operating margin, excluding the impact of stock-based compensation expense and amortization of intangibles, between 10.0% and 12.0%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Conference Call</w:t>
      </w:r>
    </w:p>
    <w:p>
      <w:pPr>
        <w:spacing w:after="0" w:line="9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EXL will host a conference call on Wednesday, May 6, at 10:00 a.m. (ET) to discuss the company’s quarterly results and operating performance. The conference call will be available live via the internet by accessing the investor relations section of EXL's website at www.exlservice.com, where the accompanying presentation can also be accessed. Please go to the website at least fifteen minutes prior to the call to register, download and install any necessary audio software.</w:t>
      </w:r>
    </w:p>
    <w:p>
      <w:pPr>
        <w:spacing w:after="0" w:line="8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To listen to the conference call via phone, please dial 1-800-706-7745 or 1-617-614-3472 and enter “49246160.” For those who cannot access the live broadcast, a replay will be available by dialing 1-888-286-8010 or 1-617-801-6888 and entering “28815805” from two hours after the end of the call until 11:59 p.m. (ET) on May 13, 2009. The replay will also be available at the EXL website.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ExlService Holdings, Inc. (Nasdaq: EXLS - News)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reengineering including decision analytics, risk and financial management and operations and process excellence services. Headquartered in New York, EXL primarily serves the needs of Global 1000 companies in the insurance, utilities, financial services and transportation sectors. Find additional information about EXL at www.exlservice.com.</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2008. These risks could cause actual results to differ materially from those implied by forward-looking statements in this release.</w:t>
      </w:r>
    </w:p>
    <w:p>
      <w:pPr>
        <w:spacing w:after="0" w:line="124"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24,356</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12,347</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exchange gain/(loss)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Interest and other income, net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100" w:type="dxa"/>
            <w:vAlign w:val="bottom"/>
          </w:tcPr>
          <w:p>
            <w:pPr>
              <w:spacing w:after="0"/>
              <w:rPr>
                <w:sz w:val="19"/>
                <w:szCs w:val="19"/>
                <w:color w:val="auto"/>
              </w:rPr>
            </w:pPr>
          </w:p>
        </w:tc>
        <w:tc>
          <w:tcPr>
            <w:tcW w:w="1380" w:type="dxa"/>
            <w:vAlign w:val="bottom"/>
            <w:gridSpan w:val="2"/>
          </w:tcPr>
          <w:p>
            <w:pPr>
              <w:jc w:val="right"/>
              <w:ind w:right="47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share(a):</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28,843,190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28,757,077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29,079,675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29,292,838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Per share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106,595</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Accounts receivable, net of allowance for doubtful accounts of $125 at March 31, 2009 and $128 at December 31, 2008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148,838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80" w:type="dxa"/>
            <w:vAlign w:val="bottom"/>
            <w:gridSpan w:val="2"/>
          </w:tcPr>
          <w:p>
            <w:pPr>
              <w:spacing w:after="0"/>
              <w:rPr>
                <w:sz w:val="20"/>
                <w:szCs w:val="20"/>
                <w:color w:val="auto"/>
              </w:rPr>
            </w:pPr>
            <w:r>
              <w:rPr>
                <w:rFonts w:ascii="Arial" w:cs="Arial" w:eastAsia="Arial" w:hAnsi="Arial"/>
                <w:sz w:val="18"/>
                <w:szCs w:val="18"/>
                <w:color w:val="auto"/>
              </w:rPr>
              <w:t>Fixed assets, net of accumulated depreciation of $29,040 at March 31, 2009 and $27,727 at December 31, 2008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202,543</w:t>
            </w:r>
          </w:p>
        </w:tc>
        <w:tc>
          <w:tcPr>
            <w:tcW w:w="22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211,969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8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29,095,045 shares issued and outstanding as of</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March 31, 2009 and 29,054,145 shares issued and outstanding as of December 31, 2008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118,226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(19,034)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172,125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w w:val="95"/>
              </w:rPr>
              <w:t>Less: 244,016 shares as of March 31, 2009 and 237,080 shares as of December 31, 2008, held in treasury, at cost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(948)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171,177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202,543</w:t>
            </w:r>
          </w:p>
        </w:tc>
        <w:tc>
          <w:tcPr>
            <w:tcW w:w="22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211,969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stock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FAS 123R and the amortization of intangibles associated with further acquisitions.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reconciliation of these adjusted financial measures from GAAP measures for the three month periods ended March 31, 2009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w w:val="90"/>
              </w:rPr>
              <w:t>Three Months Ended March 31,</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w w:val="89"/>
              </w:rPr>
              <w:t>Three Months Ended March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3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Non-GAAP</w:t>
            </w:r>
          </w:p>
        </w:tc>
        <w:tc>
          <w:tcPr>
            <w:tcW w:w="3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3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40,986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40,986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44,431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24,356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500" w:type="dxa"/>
            <w:vAlign w:val="bottom"/>
          </w:tcPr>
          <w:p>
            <w:pPr>
              <w:ind w:left="10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24,055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28,634</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500" w:type="dxa"/>
            <w:vAlign w:val="bottom"/>
          </w:tcPr>
          <w:p>
            <w:pPr>
              <w:ind w:left="10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28,501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16,630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16,931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15,797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15,930</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Gross Margin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40.6%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41.3%</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35.6%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i w:val="1"/>
                <w:iCs w:val="1"/>
                <w:color w:val="auto"/>
              </w:rPr>
              <w:t>35.9%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9,917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(1,238)</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10,748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2,515</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500" w:type="dxa"/>
            <w:vAlign w:val="bottom"/>
          </w:tcPr>
          <w:p>
            <w:pPr>
              <w:ind w:left="100"/>
              <w:spacing w:after="0"/>
              <w:rPr>
                <w:sz w:val="20"/>
                <w:szCs w:val="20"/>
                <w:color w:val="auto"/>
              </w:rPr>
            </w:pPr>
            <w:r>
              <w:rPr>
                <w:rFonts w:ascii="Arial" w:cs="Arial" w:eastAsia="Arial" w:hAnsi="Arial"/>
                <w:sz w:val="18"/>
                <w:szCs w:val="18"/>
                <w:color w:val="auto"/>
              </w:rPr>
              <w:t>(b)</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from Operations Margin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10.4%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14.2%</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5.7%</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i w:val="1"/>
                <w:iCs w:val="1"/>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1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2019-12-10T23:43:54Z</dcterms:created>
  <dcterms:modified xsi:type="dcterms:W3CDTF">2019-12-10T23:43:54Z</dcterms:modified>
</cp:coreProperties>
</file>