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549275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36"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Securities Exchange Act of 1934</w:t>
      </w:r>
    </w:p>
    <w:p>
      <w:pPr>
        <w:spacing w:after="0" w:line="283"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Date of Report (Date of earliest event reported): June 2, 2010</w:t>
      </w:r>
    </w:p>
    <w:p>
      <w:pPr>
        <w:spacing w:after="0" w:line="275"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EXLSERVICE HOLDINGS, INC.</w:t>
      </w:r>
    </w:p>
    <w:p>
      <w:pPr>
        <w:spacing w:after="0" w:line="40"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(Exact name of registrant as specified in its charter)</w:t>
      </w:r>
    </w:p>
    <w:p>
      <w:pPr>
        <w:spacing w:after="0" w:line="275"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001-33089</w:t>
            </w:r>
          </w:p>
        </w:tc>
        <w:tc>
          <w:tcPr>
            <w:tcW w:w="17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82-0572194</w:t>
            </w:r>
          </w:p>
        </w:tc>
      </w:tr>
      <w:tr>
        <w:trPr>
          <w:trHeight w:val="243"/>
        </w:trPr>
        <w:tc>
          <w:tcPr>
            <w:tcW w:w="212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w:t>
            </w:r>
          </w:p>
        </w:tc>
        <w:tc>
          <w:tcPr>
            <w:tcW w:w="35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2"/>
              </w:rPr>
              <w:t>(I.R.S. Employer</w:t>
            </w:r>
          </w:p>
        </w:tc>
      </w:tr>
      <w:tr>
        <w:trPr>
          <w:trHeight w:val="243"/>
        </w:trPr>
        <w:tc>
          <w:tcPr>
            <w:tcW w:w="2120" w:type="dxa"/>
            <w:vAlign w:val="bottom"/>
          </w:tcPr>
          <w:p>
            <w:pPr>
              <w:jc w:val="center"/>
              <w:ind w:right="130"/>
              <w:spacing w:after="0"/>
              <w:rPr>
                <w:sz w:val="20"/>
                <w:szCs w:val="20"/>
                <w:color w:val="auto"/>
              </w:rPr>
            </w:pPr>
            <w:r>
              <w:rPr>
                <w:rFonts w:ascii="Arial" w:cs="Arial" w:eastAsia="Arial" w:hAnsi="Arial"/>
                <w:sz w:val="18"/>
                <w:szCs w:val="18"/>
                <w:color w:val="auto"/>
                <w:w w:val="93"/>
              </w:rPr>
              <w:t>of incorporation)</w:t>
            </w:r>
          </w:p>
        </w:tc>
        <w:tc>
          <w:tcPr>
            <w:tcW w:w="3500" w:type="dxa"/>
            <w:vAlign w:val="bottom"/>
          </w:tcPr>
          <w:p>
            <w:pPr>
              <w:spacing w:after="0"/>
              <w:rPr>
                <w:sz w:val="21"/>
                <w:szCs w:val="21"/>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729"/>
        </w:trPr>
        <w:tc>
          <w:tcPr>
            <w:tcW w:w="2120" w:type="dxa"/>
            <w:vAlign w:val="bottom"/>
          </w:tcPr>
          <w:p>
            <w:pPr>
              <w:spacing w:after="0"/>
              <w:rPr>
                <w:sz w:val="24"/>
                <w:szCs w:val="24"/>
                <w:color w:val="auto"/>
              </w:rPr>
            </w:pPr>
          </w:p>
        </w:tc>
        <w:tc>
          <w:tcPr>
            <w:tcW w:w="3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280 Park Avenue</w:t>
            </w:r>
          </w:p>
        </w:tc>
        <w:tc>
          <w:tcPr>
            <w:tcW w:w="1760" w:type="dxa"/>
            <w:vAlign w:val="bottom"/>
          </w:tcPr>
          <w:p>
            <w:pPr>
              <w:spacing w:after="0"/>
              <w:rPr>
                <w:sz w:val="24"/>
                <w:szCs w:val="24"/>
                <w:color w:val="auto"/>
              </w:rPr>
            </w:pPr>
          </w:p>
        </w:tc>
      </w:tr>
      <w:tr>
        <w:trPr>
          <w:trHeight w:val="243"/>
        </w:trPr>
        <w:tc>
          <w:tcPr>
            <w:tcW w:w="2120" w:type="dxa"/>
            <w:vAlign w:val="bottom"/>
          </w:tcPr>
          <w:p>
            <w:pPr>
              <w:spacing w:after="0"/>
              <w:rPr>
                <w:sz w:val="21"/>
                <w:szCs w:val="21"/>
                <w:color w:val="auto"/>
              </w:rPr>
            </w:pPr>
          </w:p>
        </w:tc>
        <w:tc>
          <w:tcPr>
            <w:tcW w:w="3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New York, New York 10017</w:t>
            </w:r>
          </w:p>
        </w:tc>
        <w:tc>
          <w:tcPr>
            <w:tcW w:w="1760" w:type="dxa"/>
            <w:vAlign w:val="bottom"/>
          </w:tcPr>
          <w:p>
            <w:pPr>
              <w:spacing w:after="0"/>
              <w:rPr>
                <w:sz w:val="21"/>
                <w:szCs w:val="21"/>
                <w:color w:val="auto"/>
              </w:rPr>
            </w:pPr>
          </w:p>
        </w:tc>
      </w:tr>
      <w:tr>
        <w:trPr>
          <w:trHeight w:val="243"/>
        </w:trPr>
        <w:tc>
          <w:tcPr>
            <w:tcW w:w="2120" w:type="dxa"/>
            <w:vAlign w:val="bottom"/>
          </w:tcPr>
          <w:p>
            <w:pPr>
              <w:spacing w:after="0"/>
              <w:rPr>
                <w:sz w:val="21"/>
                <w:szCs w:val="21"/>
                <w:color w:val="auto"/>
              </w:rPr>
            </w:pPr>
          </w:p>
        </w:tc>
        <w:tc>
          <w:tcPr>
            <w:tcW w:w="350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1"/>
                <w:szCs w:val="21"/>
                <w:color w:val="auto"/>
              </w:rPr>
            </w:pPr>
          </w:p>
        </w:tc>
      </w:tr>
    </w:tbl>
    <w:p>
      <w:pPr>
        <w:spacing w:after="0" w:line="200" w:lineRule="exact"/>
        <w:rPr>
          <w:sz w:val="24"/>
          <w:szCs w:val="24"/>
          <w:color w:val="auto"/>
        </w:rPr>
      </w:pPr>
    </w:p>
    <w:p>
      <w:pPr>
        <w:spacing w:after="0" w:line="295"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79"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(Former name or address, if changed since last report)</w:t>
      </w:r>
    </w:p>
    <w:p>
      <w:pPr>
        <w:spacing w:after="0" w:line="279" w:lineRule="exact"/>
        <w:rPr>
          <w:sz w:val="24"/>
          <w:szCs w:val="24"/>
          <w:color w:val="auto"/>
        </w:rPr>
      </w:pPr>
    </w:p>
    <w:p>
      <w:pPr>
        <w:ind w:right="2039"/>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96"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79" w:lineRule="exact"/>
        <w:rPr>
          <w:sz w:val="24"/>
          <w:szCs w:val="24"/>
          <w:color w:val="auto"/>
        </w:rPr>
      </w:pPr>
    </w:p>
    <w:p>
      <w:pPr>
        <w:ind w:right="1819" w:firstLine="8"/>
        <w:spacing w:after="0" w:line="30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6" w:lineRule="exact"/>
        <w:rPr>
          <w:sz w:val="24"/>
          <w:szCs w:val="24"/>
          <w:color w:val="auto"/>
        </w:rPr>
      </w:pPr>
    </w:p>
    <w:p>
      <w:pPr>
        <w:ind w:right="1859" w:firstLine="8"/>
        <w:spacing w:after="0" w:line="309"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549275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275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715010</wp:posOffset>
            </wp:positionV>
            <wp:extent cx="549275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92750" cy="29845"/>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Item 5.02</w:t>
            </w:r>
          </w:p>
        </w:tc>
        <w:tc>
          <w:tcPr>
            <w:tcW w:w="5340" w:type="dxa"/>
            <w:vAlign w:val="bottom"/>
            <w:gridSpan w:val="3"/>
          </w:tcPr>
          <w:p>
            <w:pPr>
              <w:spacing w:after="0"/>
              <w:rPr>
                <w:sz w:val="20"/>
                <w:szCs w:val="20"/>
                <w:color w:val="auto"/>
              </w:rPr>
            </w:pPr>
            <w:r>
              <w:rPr>
                <w:rFonts w:ascii="Arial" w:cs="Arial" w:eastAsia="Arial" w:hAnsi="Arial"/>
                <w:sz w:val="18"/>
                <w:szCs w:val="18"/>
                <w:color w:val="auto"/>
              </w:rPr>
              <w:t>Departure of Directors or Certain Officers; Election of Directors;</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Appointment of Certain Officers; Compensatory Arrangements of Certain</w:t>
            </w:r>
          </w:p>
        </w:tc>
      </w:tr>
      <w:tr>
        <w:trPr>
          <w:trHeight w:val="223"/>
        </w:trPr>
        <w:tc>
          <w:tcPr>
            <w:tcW w:w="130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Officers.</w:t>
            </w:r>
          </w:p>
        </w:tc>
      </w:tr>
      <w:tr>
        <w:trPr>
          <w:trHeight w:val="507"/>
        </w:trPr>
        <w:tc>
          <w:tcPr>
            <w:tcW w:w="1300" w:type="dxa"/>
            <w:vAlign w:val="bottom"/>
          </w:tcPr>
          <w:p>
            <w:pPr>
              <w:spacing w:after="0"/>
              <w:rPr>
                <w:sz w:val="24"/>
                <w:szCs w:val="2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w:t>
            </w:r>
          </w:p>
        </w:tc>
        <w:tc>
          <w:tcPr>
            <w:tcW w:w="4740" w:type="dxa"/>
            <w:vAlign w:val="bottom"/>
            <w:gridSpan w:val="2"/>
          </w:tcPr>
          <w:p>
            <w:pPr>
              <w:spacing w:after="0"/>
              <w:rPr>
                <w:sz w:val="24"/>
                <w:szCs w:val="24"/>
                <w:color w:val="auto"/>
              </w:rPr>
            </w:pPr>
          </w:p>
        </w:tc>
      </w:tr>
    </w:tbl>
    <w:p>
      <w:pPr>
        <w:spacing w:after="0" w:line="256" w:lineRule="exact"/>
        <w:rPr>
          <w:sz w:val="20"/>
          <w:szCs w:val="20"/>
          <w:color w:val="auto"/>
        </w:rPr>
      </w:pPr>
    </w:p>
    <w:p>
      <w:pPr>
        <w:ind w:right="1699" w:firstLine="1297"/>
        <w:spacing w:after="0" w:line="319" w:lineRule="auto"/>
        <w:rPr>
          <w:sz w:val="20"/>
          <w:szCs w:val="20"/>
          <w:color w:val="auto"/>
        </w:rPr>
      </w:pPr>
      <w:r>
        <w:rPr>
          <w:rFonts w:ascii="Arial" w:cs="Arial" w:eastAsia="Arial" w:hAnsi="Arial"/>
          <w:sz w:val="17"/>
          <w:szCs w:val="17"/>
          <w:color w:val="auto"/>
        </w:rPr>
        <w:t>ExlService Holdings, Inc. (the “Company”) and Vikram Talwar (“Mr. Talwar”) have amended (the “Amendment”) the Amended and Restated Employment and Non-Competition Agreement, dated December 16, 2008, between the Company and Mr. Talwar (the “Agreement”) in a number of respects, effective June 2, 2010.</w:t>
      </w:r>
    </w:p>
    <w:p>
      <w:pPr>
        <w:spacing w:after="0" w:line="193" w:lineRule="exact"/>
        <w:rPr>
          <w:sz w:val="20"/>
          <w:szCs w:val="20"/>
          <w:color w:val="auto"/>
        </w:rPr>
      </w:pPr>
    </w:p>
    <w:p>
      <w:pPr>
        <w:ind w:right="1599" w:firstLine="1297"/>
        <w:spacing w:after="0" w:line="290" w:lineRule="auto"/>
        <w:rPr>
          <w:sz w:val="20"/>
          <w:szCs w:val="20"/>
          <w:color w:val="auto"/>
        </w:rPr>
      </w:pPr>
      <w:r>
        <w:rPr>
          <w:rFonts w:ascii="Arial" w:cs="Arial" w:eastAsia="Arial" w:hAnsi="Arial"/>
          <w:sz w:val="18"/>
          <w:szCs w:val="18"/>
          <w:color w:val="auto"/>
        </w:rPr>
        <w:t>The Amendment provides that Mr. Talwar’s term of employment will continue to be automatically renewed on an annual basis in accordance with the existing terms of the Agreement unless either the Company or Mr. Talwar gives the other party written notice by October 1, 2010 to end the employment term, in which case Mr. Talwar’s employment term will end on March 31, 2011.</w:t>
      </w:r>
    </w:p>
    <w:p>
      <w:pPr>
        <w:spacing w:after="0" w:line="215" w:lineRule="exact"/>
        <w:rPr>
          <w:sz w:val="20"/>
          <w:szCs w:val="20"/>
          <w:color w:val="auto"/>
        </w:rPr>
      </w:pPr>
    </w:p>
    <w:p>
      <w:pPr>
        <w:jc w:val="both"/>
        <w:ind w:right="1579" w:firstLine="1297"/>
        <w:spacing w:after="0" w:line="347" w:lineRule="auto"/>
        <w:rPr>
          <w:sz w:val="20"/>
          <w:szCs w:val="20"/>
          <w:color w:val="auto"/>
        </w:rPr>
      </w:pPr>
      <w:r>
        <w:rPr>
          <w:rFonts w:ascii="Arial" w:cs="Arial" w:eastAsia="Arial" w:hAnsi="Arial"/>
          <w:sz w:val="16"/>
          <w:szCs w:val="16"/>
          <w:color w:val="auto"/>
        </w:rPr>
        <w:t>The Amendment also clarifies that the Company’s tax equalization obligation to Mr. Talwar under the Agreement in respect of any additional taxes that Mr. Talwar is assessed by the Republic of India remains in effect only with respect to those taxes, if any, assessed by the Republic of India for tax years ending on or before March 31, 2009.</w:t>
      </w:r>
    </w:p>
    <w:p>
      <w:pPr>
        <w:spacing w:after="0" w:line="174" w:lineRule="exact"/>
        <w:rPr>
          <w:sz w:val="20"/>
          <w:szCs w:val="20"/>
          <w:color w:val="auto"/>
        </w:rPr>
      </w:pPr>
    </w:p>
    <w:p>
      <w:pPr>
        <w:ind w:right="1659" w:firstLine="1297"/>
        <w:spacing w:after="0" w:line="295" w:lineRule="auto"/>
        <w:rPr>
          <w:sz w:val="20"/>
          <w:szCs w:val="20"/>
          <w:color w:val="auto"/>
        </w:rPr>
      </w:pPr>
      <w:r>
        <w:rPr>
          <w:rFonts w:ascii="Arial" w:cs="Arial" w:eastAsia="Arial" w:hAnsi="Arial"/>
          <w:sz w:val="18"/>
          <w:szCs w:val="18"/>
          <w:color w:val="auto"/>
        </w:rPr>
        <w:t>The Company has also agreed in the Amendment to (A) provide a travel allowance to Mr. Talwar for periods when he is in the United Kingdom on company business and does not stay in a hotel and (B) continue to pay Mr. Talwar’s automobile lease or loan payments if he purchases an automobile.</w:t>
      </w:r>
    </w:p>
    <w:p>
      <w:pPr>
        <w:spacing w:after="0" w:line="209" w:lineRule="exact"/>
        <w:rPr>
          <w:sz w:val="20"/>
          <w:szCs w:val="20"/>
          <w:color w:val="auto"/>
        </w:rPr>
      </w:pPr>
    </w:p>
    <w:p>
      <w:pPr>
        <w:ind w:right="1719" w:firstLine="1297"/>
        <w:spacing w:after="0" w:line="295" w:lineRule="auto"/>
        <w:rPr>
          <w:sz w:val="20"/>
          <w:szCs w:val="20"/>
          <w:color w:val="auto"/>
        </w:rPr>
      </w:pPr>
      <w:r>
        <w:rPr>
          <w:rFonts w:ascii="Arial" w:cs="Arial" w:eastAsia="Arial" w:hAnsi="Arial"/>
          <w:sz w:val="18"/>
          <w:szCs w:val="18"/>
          <w:color w:val="auto"/>
        </w:rPr>
        <w:t>In addition, the Amendment corrected the equity-based award vesting acceleration provisions of the Agreement (which were inadvertently modified when the Agreement was revised in 2008), to preserve acceleration treatment for awards granted on and after September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549275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2750" cy="298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ind w:left="376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19" w:firstLine="648"/>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to be signed on its behalf by the undersigned thereunto duly authorized.</w:t>
      </w:r>
    </w:p>
    <w:p>
      <w:pPr>
        <w:spacing w:after="0" w:line="17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Date: June 8, 2010</w:t>
      </w:r>
      <w:r>
        <w:rPr>
          <w:sz w:val="20"/>
          <w:szCs w:val="20"/>
          <w:color w:val="auto"/>
        </w:rPr>
        <w:tab/>
      </w:r>
      <w:r>
        <w:rPr>
          <w:rFonts w:ascii="Arial" w:cs="Arial" w:eastAsia="Arial" w:hAnsi="Arial"/>
          <w:sz w:val="16"/>
          <w:szCs w:val="16"/>
          <w:color w:val="auto"/>
        </w:rPr>
        <w:t>By:/s/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23495</wp:posOffset>
            </wp:positionV>
            <wp:extent cx="19208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460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General Counsel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and Corporate Secretary</w:t>
      </w:r>
    </w:p>
    <w:sectPr>
      <w:pgSz w:w="11900" w:h="16838" w:orient="portrait"/>
      <w:cols w:equalWidth="0" w:num="1">
        <w:col w:w="10219"/>
      </w:cols>
      <w:pgMar w:left="240" w:top="5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2019-12-10T23:46:09Z</dcterms:created>
  <dcterms:modified xsi:type="dcterms:W3CDTF">2019-12-10T23:46:09Z</dcterms:modified>
</cp:coreProperties>
</file>