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02/20/2020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1,707</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6,215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02/20/2020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730</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78.56</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5,485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1,707</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02/20/2020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1,707</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5,123</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3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20, 2020.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jc w:val="both"/>
        <w:ind w:left="40" w:right="280" w:firstLine="9"/>
        <w:spacing w:after="0" w:line="28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20, 2019, the reporting person was granted 6,830 restricted stock units, vesting in four annual installments beginning on the first anniversary of the grant date. 25 percent of the restricted stock units became vested on February 20, 2020, an additional twenty-five percent of the restricted stock units will vest on February 20, 2021, an additional twenty-five percent of the restricted stock units will vest on February 20, 2022; and the remaining balance of twenty-five percent of the restricted stock units will vest on February 20, 2023.</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2020-02-24T16:37:43Z</dcterms:created>
  <dcterms:modified xsi:type="dcterms:W3CDTF">2020-02-24T16:37:43Z</dcterms:modified>
</cp:coreProperties>
</file>