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Nicolelli Maurizio</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4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4"/>
        <w:spacing w:after="0"/>
        <w:rPr>
          <w:sz w:val="20"/>
          <w:szCs w:val="20"/>
          <w:color w:val="auto"/>
        </w:rPr>
      </w:pPr>
      <w:r>
        <w:rPr>
          <w:rFonts w:ascii="Arial" w:cs="Arial" w:eastAsia="Arial" w:hAnsi="Arial"/>
          <w:sz w:val="16"/>
          <w:szCs w:val="16"/>
          <w:color w:val="0000FF"/>
        </w:rPr>
        <w:t>Executive Vice President &amp; CFO</w:t>
      </w:r>
    </w:p>
    <w:p>
      <w:pPr>
        <w:spacing w:after="0" w:line="448"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Arial" w:cs="Arial" w:eastAsia="Arial" w:hAnsi="Arial"/>
                <w:sz w:val="17"/>
                <w:szCs w:val="17"/>
                <w:color w:val="0000FF"/>
              </w:rPr>
              <w:t>02/19/2022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1,091</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0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6,593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3"/>
          </w:tcPr>
          <w:p>
            <w:pPr>
              <w:jc w:val="right"/>
              <w:ind w:right="161"/>
              <w:spacing w:after="0"/>
              <w:rPr>
                <w:sz w:val="20"/>
                <w:szCs w:val="20"/>
                <w:color w:val="auto"/>
              </w:rPr>
            </w:pPr>
            <w:r>
              <w:rPr>
                <w:rFonts w:ascii="Arial" w:cs="Arial" w:eastAsia="Arial" w:hAnsi="Arial"/>
                <w:sz w:val="17"/>
                <w:szCs w:val="17"/>
                <w:color w:val="0000FF"/>
              </w:rPr>
              <w:t>02/19/2022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266</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114.2</w:t>
            </w:r>
            <w:r>
              <w:rPr>
                <w:rFonts w:ascii="Arial" w:cs="Arial" w:eastAsia="Arial" w:hAnsi="Arial"/>
                <w:sz w:val="21"/>
                <w:szCs w:val="21"/>
                <w:color w:val="008000"/>
                <w:w w:val="92"/>
                <w:vertAlign w:val="superscript"/>
              </w:rPr>
              <w:t>(2)</w:t>
            </w: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20" w:type="dxa"/>
            <w:vAlign w:val="bottom"/>
            <w:gridSpan w:val="11"/>
          </w:tcPr>
          <w:p>
            <w:pPr>
              <w:jc w:val="center"/>
              <w:ind w:right="6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1,091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02/19/2022</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1,091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43" w:lineRule="exact"/>
              <w:rPr>
                <w:sz w:val="20"/>
                <w:szCs w:val="20"/>
                <w:color w:val="auto"/>
              </w:rPr>
            </w:pPr>
            <w:r>
              <w:rPr>
                <w:rFonts w:ascii="Arial" w:cs="Arial" w:eastAsia="Arial" w:hAnsi="Arial"/>
                <w:sz w:val="13"/>
                <w:szCs w:val="13"/>
                <w:color w:val="0000FF"/>
                <w:w w:val="92"/>
              </w:rPr>
              <w:t>2,183</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19,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4,365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vest on February 19, 2023, and the remaining balance of twenty-five percent of the restricted stock units will vest on February 19,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2022-02-23T17:05:46Z</dcterms:created>
  <dcterms:modified xsi:type="dcterms:W3CDTF">2022-02-23T17:05:46Z</dcterms:modified>
</cp:coreProperties>
</file>