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37465</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60"/>
            <w:col w:w="8540"/>
          </w:cols>
          <w:pgMar w:left="460" w:top="216" w:right="359" w:bottom="80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Mahon Anita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03/02/2021</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4"/>
        <w:spacing w:after="0"/>
        <w:tabs>
          <w:tab w:leader="none" w:pos="514" w:val="left"/>
          <w:tab w:leader="none" w:pos="2094"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19"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74"/>
        <w:spacing w:after="0"/>
        <w:rPr>
          <w:sz w:val="20"/>
          <w:szCs w:val="20"/>
          <w:color w:val="auto"/>
        </w:rPr>
      </w:pPr>
      <w:r>
        <w:rPr>
          <w:rFonts w:ascii="Times New Roman" w:cs="Times New Roman" w:eastAsia="Times New Roman" w:hAnsi="Times New Roman"/>
          <w:sz w:val="17"/>
          <w:szCs w:val="17"/>
          <w:color w:val="0000FF"/>
        </w:rPr>
        <w:t>Executive VP &amp; CGS Officer</w:t>
      </w:r>
    </w:p>
    <w:p>
      <w:pPr>
        <w:spacing w:after="0" w:line="307" w:lineRule="exact"/>
        <w:rPr>
          <w:sz w:val="24"/>
          <w:szCs w:val="24"/>
          <w:color w:val="auto"/>
        </w:rPr>
      </w:pPr>
    </w:p>
    <w:p>
      <w:pPr>
        <w:sectPr>
          <w:pgSz w:w="11900" w:h="16838" w:orient="portrait"/>
          <w:cols w:equalWidth="0" w:num="3">
            <w:col w:w="3180" w:space="720"/>
            <w:col w:w="3106" w:space="720"/>
            <w:col w:w="3354"/>
          </w:cols>
          <w:pgMar w:left="460" w:top="216" w:right="359" w:bottom="806"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0"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1" w:lineRule="exact"/>
        <w:rPr>
          <w:sz w:val="24"/>
          <w:szCs w:val="24"/>
          <w:color w:val="auto"/>
        </w:rPr>
      </w:pP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153035</wp:posOffset>
            </wp:positionV>
            <wp:extent cx="6967220" cy="174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741805"/>
                    </a:xfrm>
                    <a:prstGeom prst="rect">
                      <a:avLst/>
                    </a:prstGeom>
                    <a:noFill/>
                  </pic:spPr>
                </pic:pic>
              </a:graphicData>
            </a:graphic>
          </wp:anchor>
        </w:drawing>
      </w:r>
    </w:p>
    <w:p>
      <w:pPr>
        <w:spacing w:after="0" w:line="298" w:lineRule="exact"/>
        <w:rPr>
          <w:sz w:val="24"/>
          <w:szCs w:val="24"/>
          <w:color w:val="auto"/>
        </w:rPr>
      </w:pPr>
    </w:p>
    <w:p>
      <w:pPr>
        <w:sectPr>
          <w:pgSz w:w="11900" w:h="16838" w:orient="portrait"/>
          <w:cols w:equalWidth="0" w:num="2">
            <w:col w:w="3740" w:space="160"/>
            <w:col w:w="7180"/>
          </w:cols>
          <w:pgMar w:left="460" w:top="216" w:right="359" w:bottom="80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1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03/02/2021</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rPr>
              <w:t>498</w:t>
            </w: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498</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03/02/2021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182</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85.14</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03/02/2021</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w w:val="99"/>
              </w:rPr>
              <w:t>1,091</w:t>
            </w: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1,407</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03/02/2021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358</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85.14</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1,049</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0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823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82321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color w:val="0000FF"/>
              </w:rPr>
              <w:t>498</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03/02/2021</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right"/>
              <w:ind w:right="41"/>
              <w:spacing w:after="0" w:line="143" w:lineRule="exact"/>
              <w:rPr>
                <w:sz w:val="20"/>
                <w:szCs w:val="20"/>
                <w:color w:val="auto"/>
              </w:rPr>
            </w:pPr>
            <w:r>
              <w:rPr>
                <w:rFonts w:ascii="Times New Roman" w:cs="Times New Roman" w:eastAsia="Times New Roman" w:hAnsi="Times New Roman"/>
                <w:sz w:val="13"/>
                <w:szCs w:val="13"/>
                <w:color w:val="0000FF"/>
              </w:rPr>
              <w:t>498</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1,494</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1,091</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03/02/2021</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right"/>
              <w:ind w:right="1"/>
              <w:spacing w:after="0" w:line="143" w:lineRule="exact"/>
              <w:rPr>
                <w:sz w:val="20"/>
                <w:szCs w:val="20"/>
                <w:color w:val="auto"/>
              </w:rPr>
            </w:pPr>
            <w:r>
              <w:rPr>
                <w:rFonts w:ascii="Times New Roman" w:cs="Times New Roman" w:eastAsia="Times New Roman" w:hAnsi="Times New Roman"/>
                <w:sz w:val="13"/>
                <w:szCs w:val="13"/>
                <w:color w:val="0000FF"/>
              </w:rPr>
              <w:t>1,091</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3,274</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2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restricted stock units reported in this report vested on March 2, 2021.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2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2, 2020, the reporting person was granted 1,992 restricted stock units, vesting in four annual installments beginning on the first anniversary of the grant date. Twenty five percent of the restricted stock units became vested on March 2, 2021, an additional twenty-five percent of the restricted stock units will vest on March 2, 2022, an additional twenty-five percent of the restricted stock units will vest March 2, 2023, and the remaining balance of twenty-five percent of the restricted stock units will vest on March 2, 2024.</w:t>
      </w:r>
    </w:p>
    <w:p>
      <w:pPr>
        <w:spacing w:after="0" w:line="25" w:lineRule="exact"/>
        <w:rPr>
          <w:rFonts w:ascii="Times New Roman" w:cs="Times New Roman" w:eastAsia="Times New Roman" w:hAnsi="Times New Roman"/>
          <w:sz w:val="13"/>
          <w:szCs w:val="13"/>
          <w:color w:val="008000"/>
        </w:rPr>
      </w:pPr>
    </w:p>
    <w:p>
      <w:pPr>
        <w:ind w:left="40" w:right="2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2, 2020, the reporting person was granted 4,365 restricted stock units, vesting in four annual installments beginning on the first anniversary of the grant date. Twenty five percent of the restricted stock units became vested on March 2, 2021, an additional twenty-five percent of the restricted stock units will vest on March 2, 2022, an additional twenty-five percent of the restricted stock units will vest March 2, 2023, and the remaining balance of twenty-five percent of the restricted stock units will vest on March 2, 2024.</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03/04/2021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3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80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05281"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2021-03-04T16:53:17Z</dcterms:created>
  <dcterms:modified xsi:type="dcterms:W3CDTF">2021-03-04T16:53:17Z</dcterms:modified>
</cp:coreProperties>
</file>