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7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780"/>
        <w:spacing w:after="0"/>
        <w:tabs>
          <w:tab w:leader="none" w:pos="5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July 11, 2008</w:t>
      </w:r>
    </w:p>
    <w:p>
      <w:pPr>
        <w:spacing w:after="0" w:line="200" w:lineRule="exact"/>
        <w:rPr>
          <w:sz w:val="24"/>
          <w:szCs w:val="24"/>
          <w:color w:val="auto"/>
        </w:rPr>
      </w:pPr>
    </w:p>
    <w:p>
      <w:pPr>
        <w:spacing w:after="0" w:line="254"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001-33089</w:t>
            </w:r>
          </w:p>
        </w:tc>
        <w:tc>
          <w:tcPr>
            <w:tcW w:w="3840" w:type="dxa"/>
            <w:vAlign w:val="bottom"/>
          </w:tcPr>
          <w:p>
            <w:pPr>
              <w:jc w:val="right"/>
              <w:ind w:right="137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(Commission File Number)</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628"/>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350 Park Avenue</w:t>
            </w:r>
          </w:p>
        </w:tc>
        <w:tc>
          <w:tcPr>
            <w:tcW w:w="3840" w:type="dxa"/>
            <w:vAlign w:val="bottom"/>
          </w:tcPr>
          <w:p>
            <w:pPr>
              <w:spacing w:after="0"/>
              <w:rPr>
                <w:sz w:val="24"/>
                <w:szCs w:val="24"/>
                <w:color w:val="auto"/>
              </w:rPr>
            </w:pPr>
          </w:p>
        </w:tc>
      </w:tr>
      <w:tr>
        <w:trPr>
          <w:trHeight w:val="255"/>
        </w:trPr>
        <w:tc>
          <w:tcPr>
            <w:tcW w:w="428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New York, New York</w:t>
            </w:r>
          </w:p>
        </w:tc>
        <w:tc>
          <w:tcPr>
            <w:tcW w:w="3840" w:type="dxa"/>
            <w:vAlign w:val="bottom"/>
          </w:tcPr>
          <w:p>
            <w:pPr>
              <w:jc w:val="right"/>
              <w:ind w:right="1572"/>
              <w:spacing w:after="0"/>
              <w:rPr>
                <w:sz w:val="20"/>
                <w:szCs w:val="20"/>
                <w:color w:val="auto"/>
              </w:rPr>
            </w:pPr>
            <w:r>
              <w:rPr>
                <w:rFonts w:ascii="Arial" w:cs="Arial" w:eastAsia="Arial" w:hAnsi="Arial"/>
                <w:sz w:val="18"/>
                <w:szCs w:val="18"/>
                <w:b w:val="1"/>
                <w:bCs w:val="1"/>
                <w:color w:val="auto"/>
              </w:rPr>
              <w:t>10022</w:t>
            </w:r>
          </w:p>
        </w:tc>
      </w:tr>
      <w:tr>
        <w:trPr>
          <w:trHeight w:val="97"/>
        </w:trPr>
        <w:tc>
          <w:tcPr>
            <w:tcW w:w="42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r>
      <w:tr>
        <w:trPr>
          <w:trHeight w:val="216"/>
        </w:trPr>
        <w:tc>
          <w:tcPr>
            <w:tcW w:w="4280" w:type="dxa"/>
            <w:vAlign w:val="bottom"/>
          </w:tcPr>
          <w:p>
            <w:pPr>
              <w:jc w:val="center"/>
              <w:ind w:left="1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bl>
    <w:p>
      <w:pPr>
        <w:spacing w:after="0" w:line="317"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jc w:val="both"/>
        <w:ind w:right="2099" w:firstLine="402"/>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0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4"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1183640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6"/>
          <w:szCs w:val="16"/>
          <w:u w:val="single" w:color="auto"/>
          <w:color w:val="auto"/>
        </w:rPr>
        <w:t>Entry into a Material Definitive Agreement.</w:t>
      </w:r>
    </w:p>
    <w:p>
      <w:pPr>
        <w:spacing w:after="0" w:line="225" w:lineRule="exact"/>
        <w:rPr>
          <w:sz w:val="20"/>
          <w:szCs w:val="20"/>
          <w:color w:val="auto"/>
        </w:rPr>
      </w:pPr>
    </w:p>
    <w:p>
      <w:pPr>
        <w:jc w:val="both"/>
        <w:ind w:right="2119" w:firstLine="972"/>
        <w:spacing w:after="0" w:line="294" w:lineRule="auto"/>
        <w:rPr>
          <w:sz w:val="20"/>
          <w:szCs w:val="20"/>
          <w:color w:val="auto"/>
        </w:rPr>
      </w:pPr>
      <w:r>
        <w:rPr>
          <w:rFonts w:ascii="Arial" w:cs="Arial" w:eastAsia="Arial" w:hAnsi="Arial"/>
          <w:sz w:val="16"/>
          <w:szCs w:val="16"/>
          <w:color w:val="auto"/>
        </w:rPr>
        <w:t>On July 14, 2008, ExlService Holdings, Inc. (the “Company”) announced the extension of the Company’s existing master services agreement (the “Agreement”) with Centrica plc (“Centrica”), one of its largest customers. The extension was effected pursuant to a notice of extension delivered by Centrica on July 11, 2008, which notice extends the term of the Agreement under its existing terms for an additional 12 months. As a result of this extension, the term of the Agreement is scheduled to expire on January 25,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99" w:firstLine="97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2460" w:type="dxa"/>
            <w:vAlign w:val="bottom"/>
          </w:tcPr>
          <w:p>
            <w:pPr>
              <w:spacing w:after="0"/>
              <w:rPr>
                <w:sz w:val="19"/>
                <w:szCs w:val="19"/>
                <w:color w:val="auto"/>
              </w:rPr>
            </w:pPr>
          </w:p>
        </w:tc>
        <w:tc>
          <w:tcPr>
            <w:tcW w:w="5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460" w:type="dxa"/>
            <w:vAlign w:val="bottom"/>
          </w:tcPr>
          <w:p>
            <w:pPr>
              <w:spacing w:after="0"/>
              <w:rPr>
                <w:sz w:val="19"/>
                <w:szCs w:val="19"/>
                <w:color w:val="auto"/>
              </w:rPr>
            </w:pPr>
          </w:p>
        </w:tc>
        <w:tc>
          <w:tcPr>
            <w:tcW w:w="5300" w:type="dxa"/>
            <w:vAlign w:val="bottom"/>
            <w:gridSpan w:val="2"/>
          </w:tcPr>
          <w:p>
            <w:pPr>
              <w:ind w:left="1320"/>
              <w:spacing w:after="0"/>
              <w:rPr>
                <w:sz w:val="20"/>
                <w:szCs w:val="20"/>
                <w:color w:val="auto"/>
              </w:rPr>
            </w:pPr>
            <w:r>
              <w:rPr>
                <w:rFonts w:ascii="Arial" w:cs="Arial" w:eastAsia="Arial" w:hAnsi="Arial"/>
                <w:sz w:val="18"/>
                <w:szCs w:val="18"/>
                <w:color w:val="auto"/>
              </w:rPr>
              <w:t>(Registrant)</w:t>
            </w:r>
          </w:p>
        </w:tc>
      </w:tr>
      <w:tr>
        <w:trPr>
          <w:trHeight w:val="474"/>
        </w:trPr>
        <w:tc>
          <w:tcPr>
            <w:tcW w:w="2460" w:type="dxa"/>
            <w:vAlign w:val="bottom"/>
          </w:tcPr>
          <w:p>
            <w:pPr>
              <w:spacing w:after="0"/>
              <w:rPr>
                <w:sz w:val="20"/>
                <w:szCs w:val="20"/>
                <w:color w:val="auto"/>
              </w:rPr>
            </w:pPr>
            <w:r>
              <w:rPr>
                <w:rFonts w:ascii="Arial" w:cs="Arial" w:eastAsia="Arial" w:hAnsi="Arial"/>
                <w:sz w:val="18"/>
                <w:szCs w:val="18"/>
                <w:color w:val="auto"/>
              </w:rPr>
              <w:t>Date: July 15, 2008</w:t>
            </w:r>
          </w:p>
        </w:tc>
        <w:tc>
          <w:tcPr>
            <w:tcW w:w="5300" w:type="dxa"/>
            <w:vAlign w:val="bottom"/>
            <w:gridSpan w:val="2"/>
          </w:tcPr>
          <w:p>
            <w:pPr>
              <w:ind w:left="1100"/>
              <w:spacing w:after="0"/>
              <w:rPr>
                <w:sz w:val="20"/>
                <w:szCs w:val="20"/>
                <w:color w:val="auto"/>
              </w:rPr>
            </w:pPr>
            <w:r>
              <w:rPr>
                <w:rFonts w:ascii="Arial" w:cs="Arial" w:eastAsia="Arial" w:hAnsi="Arial"/>
                <w:sz w:val="18"/>
                <w:szCs w:val="18"/>
                <w:color w:val="auto"/>
              </w:rPr>
              <w:t>By: /s/ Matt Appel</w:t>
            </w:r>
          </w:p>
        </w:tc>
      </w:tr>
      <w:tr>
        <w:trPr>
          <w:trHeight w:val="202"/>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Matt Appel</w:t>
            </w:r>
          </w:p>
        </w:tc>
      </w:tr>
      <w:tr>
        <w:trPr>
          <w:trHeight w:val="222"/>
        </w:trPr>
        <w:tc>
          <w:tcPr>
            <w:tcW w:w="2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Title:  Vice President and Chief Financial Officer</w:t>
            </w:r>
          </w:p>
        </w:tc>
      </w:tr>
    </w:tbl>
    <w:p>
      <w:pPr>
        <w:spacing w:after="0" w:line="1" w:lineRule="exact"/>
        <w:rPr>
          <w:sz w:val="20"/>
          <w:szCs w:val="20"/>
          <w:color w:val="auto"/>
        </w:rPr>
      </w:pP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2019-12-15T11:11:52Z</dcterms:created>
  <dcterms:modified xsi:type="dcterms:W3CDTF">2019-12-15T11:11:52Z</dcterms:modified>
</cp:coreProperties>
</file>