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left="1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5.51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1,153,526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5.49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1,153,704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5.42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1,153,719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5.36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1,153,729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5.35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1,153,744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5.25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1,153,854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5.2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1,153,859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4.99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1,153,879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4.98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1,154,007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11/24/2008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6.02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1,154,157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11/24/2008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6.01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1,154,257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11/24/2008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5.95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1,154,287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11/24/2008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5.9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1,154,478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11/24/2008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5.85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1,154,538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  <w:gridSpan w:val="10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062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06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340" w:type="dxa"/>
            <w:vAlign w:val="bottom"/>
            <w:gridSpan w:val="8"/>
          </w:tcPr>
          <w:p>
            <w:pPr>
              <w:ind w:left="9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60" w:type="dxa"/>
            <w:vAlign w:val="bottom"/>
            <w:gridSpan w:val="6"/>
          </w:tcPr>
          <w:p>
            <w:pPr>
              <w:ind w:left="58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6Exercisable.DateExercisableDate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3"/>
              </w:rPr>
              <w:t>7Title.Title andShares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360" w:type="dxa"/>
            <w:vAlign w:val="bottom"/>
            <w:gridSpan w:val="7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This purchase was made pursuant to a 10b5-1 plan previously entered into by the Talwar 1994 Trust (the "Trust").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2. Reflects a transfer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of 150,000 shares from the Trust to the Vikram Talwar 2008 GRAT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0"/>
          <w:szCs w:val="10"/>
          <w:color w:val="008000"/>
        </w:rPr>
        <w:t>on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0"/>
          <w:szCs w:val="10"/>
          <w:color w:val="008000"/>
        </w:rPr>
        <w:t>June 10, 2008, a transfer of 57,329 shares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tothe 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Trust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from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3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the Vikram Talwar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Arial" w:cs="Arial" w:eastAsia="Arial" w:hAnsi="Arial"/>
          <w:sz w:val="10"/>
          <w:szCs w:val="10"/>
          <w:color w:val="008000"/>
        </w:rPr>
        <w:t>2004 GRAT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</w:t>
      </w:r>
      <w:r>
        <w:rPr>
          <w:rFonts w:ascii="Arial" w:cs="Arial" w:eastAsia="Arial" w:hAnsi="Arial"/>
          <w:sz w:val="10"/>
          <w:szCs w:val="10"/>
          <w:color w:val="008000"/>
        </w:rPr>
        <w:t>on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March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.4)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25, 2008, and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6200" w:type="dxa"/>
            <w:vAlign w:val="bottom"/>
            <w:gridSpan w:val="2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a transfer of 52,984 shares to the Trust from the Vikram Talwar 2007 GRAT on March 28,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96"/>
              </w:rPr>
              <w:t>Disposed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2008.</w:t>
            </w: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3. Owned by the Trust.</w:t>
            </w:r>
          </w:p>
        </w:tc>
        <w:tc>
          <w:tcPr>
            <w:tcW w:w="2380" w:type="dxa"/>
            <w:vAlign w:val="bottom"/>
          </w:tcPr>
          <w:p>
            <w:pPr>
              <w:ind w:left="9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9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808080"/>
            </w:tcBorders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2"/>
              </w:rPr>
              <w:t>/s/ Lazbart Oseni, Attorney-in-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4"/>
              </w:rPr>
              <w:t>11/25/2008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5"/>
              </w:rPr>
              <w:t>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1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ind w:left="10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Reminder: Report on a separate line for each class of securities beneficially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CodeV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 xml:space="preserve"> owned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(A)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 xml:space="preserve"> directly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(D)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 xml:space="preserve"> or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Exercisable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indirectly.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2019-12-16T15:33:05Z</dcterms:created>
  <dcterms:modified xsi:type="dcterms:W3CDTF">2019-12-16T15:33:05Z</dcterms:modified>
</cp:coreProperties>
</file>