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10" w:lineRule="exact"/>
        <w:rPr>
          <w:sz w:val="24"/>
          <w:szCs w:val="24"/>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203"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2007</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40" w:right="7679"/>
        <w:spacing w:after="0" w:line="279" w:lineRule="auto"/>
        <w:tabs>
          <w:tab w:leader="none" w:pos="10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81"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Page 2 of</w:t>
            </w: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7</w:t>
            </w:r>
          </w:p>
        </w:tc>
        <w:tc>
          <w:tcPr>
            <w:tcW w:w="196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302081104</w:t>
            </w:r>
          </w:p>
        </w:tc>
        <w:tc>
          <w:tcPr>
            <w:tcW w:w="3620" w:type="dxa"/>
            <w:vAlign w:val="bottom"/>
          </w:tcPr>
          <w:p>
            <w:pPr>
              <w:ind w:left="260"/>
              <w:spacing w:after="0"/>
              <w:rPr>
                <w:sz w:val="20"/>
                <w:szCs w:val="20"/>
                <w:color w:val="auto"/>
              </w:rPr>
            </w:pPr>
            <w:r>
              <w:rPr>
                <w:rFonts w:ascii="Courier New" w:cs="Courier New" w:eastAsia="Courier New" w:hAnsi="Courier New"/>
                <w:sz w:val="18"/>
                <w:szCs w:val="18"/>
                <w:color w:val="auto"/>
              </w:rPr>
              <w:t>13G</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1. NAME OF</w:t>
            </w:r>
          </w:p>
        </w:tc>
        <w:tc>
          <w:tcPr>
            <w:tcW w:w="10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3620" w:type="dxa"/>
            <w:vAlign w:val="bottom"/>
          </w:tcPr>
          <w:p>
            <w:pPr>
              <w:spacing w:after="0"/>
              <w:rPr>
                <w:sz w:val="24"/>
                <w:szCs w:val="24"/>
                <w:color w:val="auto"/>
              </w:rPr>
            </w:pPr>
          </w:p>
        </w:tc>
      </w:tr>
      <w:tr>
        <w:trPr>
          <w:trHeight w:val="203"/>
        </w:trPr>
        <w:tc>
          <w:tcPr>
            <w:tcW w:w="67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I.R.S. IDENTIFICATION NO. OF ABOVE PERSON (ENTITIES ONLY)</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BlackRock,</w:t>
            </w:r>
          </w:p>
        </w:tc>
        <w:tc>
          <w:tcPr>
            <w:tcW w:w="10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Courier New" w:cs="Courier New" w:eastAsia="Courier New" w:hAnsi="Courier New"/>
                <w:sz w:val="18"/>
                <w:szCs w:val="18"/>
                <w:color w:val="auto"/>
              </w:rPr>
              <w:t>Inc.</w:t>
            </w:r>
          </w:p>
        </w:tc>
        <w:tc>
          <w:tcPr>
            <w:tcW w:w="362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(on behalf</w:t>
            </w:r>
          </w:p>
        </w:tc>
        <w:tc>
          <w:tcPr>
            <w:tcW w:w="100" w:type="dxa"/>
            <w:vAlign w:val="bottom"/>
          </w:tcPr>
          <w:p>
            <w:pPr>
              <w:spacing w:after="0"/>
              <w:rPr>
                <w:sz w:val="17"/>
                <w:szCs w:val="17"/>
                <w:color w:val="auto"/>
              </w:rPr>
            </w:pP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of its investment advisory subsidiaries - See Item 7)</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ectPr>
          <w:pgSz w:w="11900" w:h="16838" w:orient="portrait"/>
          <w:cols w:equalWidth="0" w:num="1">
            <w:col w:w="10219"/>
          </w:cols>
          <w:pgMar w:left="240" w:top="244" w:right="1440" w:bottom="0" w:gutter="0" w:footer="0" w:header="0"/>
        </w:sectPr>
      </w:pPr>
    </w:p>
    <w:bookmarkStart w:id="1" w:name="page2"/>
    <w:bookmarkEnd w:id="1"/>
    <w:p>
      <w:pPr>
        <w:ind w:right="80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2,460,274</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2,460,274</w:t>
      </w:r>
    </w:p>
    <w:p>
      <w:pPr>
        <w:spacing w:after="0" w:line="11" w:lineRule="exact"/>
        <w:rPr>
          <w:rFonts w:ascii="Courier New" w:cs="Courier New" w:eastAsia="Courier New" w:hAnsi="Courier New"/>
          <w:sz w:val="18"/>
          <w:szCs w:val="18"/>
          <w:color w:val="auto"/>
        </w:rPr>
      </w:pPr>
    </w:p>
    <w:p>
      <w:pPr>
        <w:ind w:right="2739" w:firstLine="8"/>
        <w:spacing w:after="0" w:line="536" w:lineRule="auto"/>
        <w:tabs>
          <w:tab w:leader="none" w:pos="31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2,460,274 (ownership disclaimed pursuant to Rule 13d-4 of the 1934 Act)</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right="4839" w:firstLine="8"/>
        <w:spacing w:after="0" w:line="470"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8.58%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350 Park Avenue</w:t>
      </w:r>
    </w:p>
    <w:p>
      <w:pPr>
        <w:ind w:left="860"/>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(a)</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BlackRock, Inc.</w:t>
            </w:r>
          </w:p>
        </w:tc>
      </w:tr>
      <w:tr>
        <w:trPr>
          <w:trHeight w:val="203"/>
        </w:trPr>
        <w:tc>
          <w:tcPr>
            <w:tcW w:w="700" w:type="dxa"/>
            <w:vAlign w:val="bottom"/>
          </w:tcPr>
          <w:p>
            <w:pPr>
              <w:spacing w:after="0"/>
              <w:rPr>
                <w:sz w:val="17"/>
                <w:szCs w:val="17"/>
                <w:color w:val="auto"/>
              </w:rPr>
            </w:pPr>
          </w:p>
        </w:tc>
        <w:tc>
          <w:tcPr>
            <w:tcW w:w="7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(on behalf of its investment advisory subsidiaries - See Item 7)</w:t>
            </w:r>
          </w:p>
        </w:tc>
      </w:tr>
      <w:tr>
        <w:trPr>
          <w:trHeight w:val="810"/>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(b)</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BlackRock,</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Inc.</w:t>
            </w:r>
          </w:p>
        </w:tc>
      </w:tr>
      <w:tr>
        <w:trPr>
          <w:trHeight w:val="203"/>
        </w:trPr>
        <w:tc>
          <w:tcPr>
            <w:tcW w:w="7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40 East 52nd Street</w:t>
            </w:r>
          </w:p>
        </w:tc>
      </w:tr>
      <w:tr>
        <w:trPr>
          <w:trHeight w:val="203"/>
        </w:trPr>
        <w:tc>
          <w:tcPr>
            <w:tcW w:w="7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(c)</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See Item 4</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Cover Page</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(d)</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Title of Class Securities:</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7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Stock</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(e)</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CUSIP NUMBER: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Page 4 of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this statement is filed pursuant to SS 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78c),</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 (15 U.S.C 78c),</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207" w:lineRule="exact"/>
        <w:rPr>
          <w:sz w:val="20"/>
          <w:szCs w:val="20"/>
          <w:color w:val="auto"/>
        </w:rPr>
      </w:pPr>
    </w:p>
    <w:p>
      <w:pPr>
        <w:ind w:left="860" w:right="273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SS 240. 13d-1(b) (1) (ii) (E),</w:t>
      </w:r>
    </w:p>
    <w:p>
      <w:pPr>
        <w:spacing w:after="0" w:line="4" w:lineRule="exact"/>
        <w:rPr>
          <w:rFonts w:ascii="Courier New" w:cs="Courier New" w:eastAsia="Courier New" w:hAnsi="Courier New"/>
          <w:sz w:val="18"/>
          <w:szCs w:val="18"/>
          <w:color w:val="auto"/>
        </w:rPr>
      </w:pPr>
    </w:p>
    <w:p>
      <w:pPr>
        <w:ind w:left="860" w:right="325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SS 240. 13d-1(b) (ii) (F),</w:t>
      </w:r>
    </w:p>
    <w:p>
      <w:pPr>
        <w:spacing w:after="0" w:line="5" w:lineRule="exact"/>
        <w:rPr>
          <w:rFonts w:ascii="Courier New" w:cs="Courier New" w:eastAsia="Courier New" w:hAnsi="Courier New"/>
          <w:sz w:val="18"/>
          <w:szCs w:val="18"/>
          <w:color w:val="auto"/>
        </w:rPr>
      </w:pPr>
    </w:p>
    <w:p>
      <w:pPr>
        <w:ind w:left="860" w:right="315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SS.SS.240.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w:t>
      </w:r>
    </w:p>
    <w:p>
      <w:pPr>
        <w:spacing w:after="0" w:line="5" w:lineRule="exact"/>
        <w:rPr>
          <w:sz w:val="20"/>
          <w:szCs w:val="20"/>
          <w:color w:val="auto"/>
        </w:rPr>
      </w:pPr>
    </w:p>
    <w:p>
      <w:pPr>
        <w:ind w:left="860" w:right="3039"/>
        <w:spacing w:after="0" w:line="235" w:lineRule="auto"/>
        <w:rPr>
          <w:sz w:val="20"/>
          <w:szCs w:val="20"/>
          <w:color w:val="auto"/>
        </w:rPr>
      </w:pPr>
      <w:r>
        <w:rPr>
          <w:rFonts w:ascii="Courier New" w:cs="Courier New" w:eastAsia="Courier New" w:hAnsi="Courier New"/>
          <w:sz w:val="18"/>
          <w:szCs w:val="18"/>
          <w:color w:val="auto"/>
        </w:rPr>
        <w:t>investment company under Section 3(c) (14) of the Investment Company Act of 1940(15 U.S.C 80a-3),</w:t>
      </w:r>
    </w:p>
    <w:p>
      <w:pPr>
        <w:spacing w:after="0"/>
        <w:rPr>
          <w:sz w:val="20"/>
          <w:szCs w:val="20"/>
          <w:color w:val="auto"/>
        </w:rPr>
      </w:pPr>
      <w:r>
        <w:rPr>
          <w:rFonts w:ascii="Courier New" w:cs="Courier New" w:eastAsia="Courier New" w:hAnsi="Courier New"/>
          <w:sz w:val="18"/>
          <w:szCs w:val="18"/>
          <w:color w:val="auto"/>
        </w:rPr>
        <w:t>(j) [ ] Group, in accordance with SS 240. 13d-1(b) (1) (ii) (J).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6939" w:hanging="532"/>
        <w:spacing w:after="0" w:line="536"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779" w:firstLine="211"/>
        <w:spacing w:after="0" w:line="235" w:lineRule="auto"/>
        <w:rPr>
          <w:sz w:val="20"/>
          <w:szCs w:val="20"/>
          <w:color w:val="auto"/>
        </w:rPr>
      </w:pPr>
      <w:r>
        <w:rPr>
          <w:rFonts w:ascii="Courier New" w:cs="Courier New" w:eastAsia="Courier New" w:hAnsi="Courier New"/>
          <w:sz w:val="18"/>
          <w:szCs w:val="18"/>
          <w:color w:val="auto"/>
        </w:rPr>
        <w:t>BlackRock, Inc. is a parent holding company for a number of investment management subsidiaries. Certain of</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these subsidiaries hold shares of the security which is the subject of this report. (See Item 7).</w:t>
      </w:r>
    </w:p>
    <w:p>
      <w:pPr>
        <w:spacing w:after="0" w:line="208"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44" w:right="1440" w:bottom="0" w:gutter="0" w:footer="0" w:header="0"/>
        </w:sectPr>
      </w:pPr>
    </w:p>
    <w:bookmarkStart w:id="3" w:name="page4"/>
    <w:bookmarkEnd w:id="3"/>
    <w:p>
      <w:pPr>
        <w:ind w:left="320" w:right="2619"/>
        <w:spacing w:after="0" w:line="235" w:lineRule="auto"/>
        <w:rPr>
          <w:sz w:val="20"/>
          <w:szCs w:val="20"/>
          <w:color w:val="auto"/>
        </w:rPr>
      </w:pPr>
      <w:r>
        <w:rPr>
          <w:rFonts w:ascii="Courier New" w:cs="Courier New" w:eastAsia="Courier New" w:hAnsi="Courier New"/>
          <w:sz w:val="18"/>
          <w:szCs w:val="18"/>
          <w:color w:val="auto"/>
        </w:rPr>
        <w:t>The following subsidiaries of BlackRock, Inc. are investment advisors which hold shares of the security being reported;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08, 2008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 (on behalf of its investment advisory subsidiaries)</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Denis Molleur</w:t>
      </w:r>
    </w:p>
    <w:p>
      <w:pPr>
        <w:spacing w:after="0" w:line="20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Denis Molleur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*Signed pursuant to a power of attorney, dated January 11, 2008, included as Exhibit A to this Schedule 13G filed with the Securities and Exchange Commission by BlackRock,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ectPr>
          <w:pgSz w:w="11900" w:h="16838" w:orient="portrait"/>
          <w:cols w:equalWidth="0" w:num="1">
            <w:col w:w="10219"/>
          </w:cols>
          <w:pgMar w:left="240" w:top="344" w:right="1440" w:bottom="0" w:gutter="0" w:footer="0" w:header="0"/>
        </w:sectPr>
      </w:pPr>
    </w:p>
    <w:bookmarkStart w:id="4" w:name="page5"/>
    <w:bookmarkEnd w:id="4"/>
    <w:p>
      <w:pPr>
        <w:ind w:right="2419"/>
        <w:spacing w:after="0" w:line="237" w:lineRule="auto"/>
        <w:rPr>
          <w:sz w:val="20"/>
          <w:szCs w:val="20"/>
          <w:color w:val="auto"/>
        </w:rPr>
      </w:pPr>
      <w:r>
        <w:rPr>
          <w:rFonts w:ascii="Courier New" w:cs="Courier New" w:eastAsia="Courier New" w:hAnsi="Courier New"/>
          <w:sz w:val="18"/>
          <w:szCs w:val="18"/>
          <w:color w:val="auto"/>
        </w:rPr>
        <w:t>under the laws of the State of Delaware, United States (the "Company"), does hereby make, constitute and appoint each of Robert Connolly, Howard Surloff, Edward Baer, James DesMarais, Bartholomew Battista, Daniel Waltcher, Vincent Tritto, Karen Clark, Denis Molleur, Daniel Ronnen, Daniel Moonay, Nicholas Hall, Con Tzatzakis and Junichi Yoshioka acting severally, as its true and lawful attorneys-in-fact, for the purpose of, from time to time, executing in its name and on its behalf, whether the Company is acting individually or</w:t>
      </w:r>
    </w:p>
    <w:p>
      <w:pPr>
        <w:spacing w:after="0" w:line="10"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9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4, 2006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January,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4"/>
    </w:lvl>
    <w:lvl w:ilvl="1">
      <w:lvlJc w:val="left"/>
      <w:lvlText w:val="%2"/>
      <w:numFmt w:val="upperLetter"/>
      <w:start w:val="1"/>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2019-12-15T11:10:07Z</dcterms:created>
  <dcterms:modified xsi:type="dcterms:W3CDTF">2019-12-15T11:10:07Z</dcterms:modified>
</cp:coreProperties>
</file>