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611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6116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Kapoor Rohit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02/24/2015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CEO &amp; Vice 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3680" w:type="dxa"/>
            <w:vAlign w:val="bottom"/>
            <w:gridSpan w:val="5"/>
            <w:vMerge w:val="restart"/>
          </w:tcPr>
          <w:p>
            <w:pPr>
              <w:jc w:val="right"/>
              <w:ind w:right="30"/>
              <w:spacing w:after="0"/>
              <w:rPr>
                <w:sz w:val="20"/>
                <w:szCs w:val="20"/>
                <w:color w:val="auto"/>
              </w:rPr>
            </w:pPr>
            <w:r>
              <w:rPr>
                <w:rFonts w:ascii="Arial" w:cs="Arial" w:eastAsia="Arial" w:hAnsi="Arial"/>
                <w:sz w:val="14"/>
                <w:szCs w:val="14"/>
                <w:color w:val="auto"/>
                <w:w w:val="99"/>
              </w:rPr>
              <w:t>4. If Amendment, Date of Original Filed (Month/Day/Year)</w:t>
            </w:r>
          </w:p>
        </w:tc>
        <w:tc>
          <w:tcPr>
            <w:tcW w:w="3820" w:type="dxa"/>
            <w:vAlign w:val="bottom"/>
            <w:gridSpan w:val="5"/>
            <w:vMerge w:val="restart"/>
          </w:tcPr>
          <w:p>
            <w:pPr>
              <w:ind w:left="46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80" w:type="dxa"/>
            <w:vAlign w:val="bottom"/>
            <w:gridSpan w:val="5"/>
            <w:vMerge w:val="continue"/>
          </w:tcPr>
          <w:p>
            <w:pPr>
              <w:spacing w:after="0"/>
              <w:rPr>
                <w:sz w:val="11"/>
                <w:szCs w:val="11"/>
                <w:color w:val="auto"/>
              </w:rPr>
            </w:pPr>
          </w:p>
        </w:tc>
        <w:tc>
          <w:tcPr>
            <w:tcW w:w="38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ind w:left="460"/>
              <w:spacing w:after="0" w:line="155" w:lineRule="exact"/>
              <w:rPr>
                <w:sz w:val="20"/>
                <w:szCs w:val="20"/>
                <w:color w:val="auto"/>
              </w:rPr>
            </w:pPr>
            <w:r>
              <w:rPr>
                <w:rFonts w:ascii="Arial" w:cs="Arial" w:eastAsia="Arial" w:hAnsi="Arial"/>
                <w:sz w:val="14"/>
                <w:szCs w:val="14"/>
                <w:color w:val="auto"/>
                <w:w w:val="96"/>
              </w:rPr>
              <w:t>Line)</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080" w:type="dxa"/>
            <w:vAlign w:val="bottom"/>
          </w:tcPr>
          <w:p>
            <w:pPr>
              <w:ind w:left="560"/>
              <w:spacing w:after="0"/>
              <w:rPr>
                <w:sz w:val="20"/>
                <w:szCs w:val="20"/>
                <w:color w:val="auto"/>
              </w:rPr>
            </w:pPr>
            <w:r>
              <w:rPr>
                <w:rFonts w:ascii="Arial" w:cs="Arial" w:eastAsia="Arial" w:hAnsi="Arial"/>
                <w:sz w:val="18"/>
                <w:szCs w:val="18"/>
                <w:color w:val="0000FF"/>
                <w:w w:val="99"/>
              </w:rPr>
              <w:t>10017</w:t>
            </w: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20" w:type="dxa"/>
            <w:vAlign w:val="bottom"/>
            <w:gridSpan w:val="5"/>
          </w:tcPr>
          <w:p>
            <w:pPr>
              <w:ind w:left="6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40" w:type="dxa"/>
            <w:vAlign w:val="bottom"/>
            <w:gridSpan w:val="4"/>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08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ind w:left="24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80" w:type="dxa"/>
            <w:vAlign w:val="bottom"/>
          </w:tcPr>
          <w:p>
            <w:pPr>
              <w:spacing w:after="0"/>
              <w:rPr>
                <w:sz w:val="15"/>
                <w:szCs w:val="15"/>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jc w:val="right"/>
              <w:ind w:right="19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60" w:type="dxa"/>
            <w:vAlign w:val="bottom"/>
            <w:gridSpan w:val="4"/>
          </w:tcPr>
          <w:p>
            <w:pPr>
              <w:ind w:left="60"/>
              <w:spacing w:after="0"/>
              <w:rPr>
                <w:sz w:val="20"/>
                <w:szCs w:val="20"/>
                <w:color w:val="auto"/>
              </w:rPr>
            </w:pPr>
            <w:r>
              <w:rPr>
                <w:rFonts w:ascii="Arial" w:cs="Arial" w:eastAsia="Arial" w:hAnsi="Arial"/>
                <w:sz w:val="18"/>
                <w:szCs w:val="18"/>
                <w:color w:val="0000FF"/>
              </w:rPr>
              <w:t>Common Stock, par value $0.001 per</w:t>
            </w:r>
          </w:p>
        </w:tc>
        <w:tc>
          <w:tcPr>
            <w:tcW w:w="1140" w:type="dxa"/>
            <w:vAlign w:val="bottom"/>
            <w:gridSpan w:val="2"/>
            <w:vMerge w:val="restart"/>
          </w:tcPr>
          <w:p>
            <w:pPr>
              <w:jc w:val="right"/>
              <w:ind w:right="92"/>
              <w:spacing w:after="0"/>
              <w:rPr>
                <w:sz w:val="20"/>
                <w:szCs w:val="20"/>
                <w:color w:val="auto"/>
              </w:rPr>
            </w:pPr>
            <w:r>
              <w:rPr>
                <w:rFonts w:ascii="Arial" w:cs="Arial" w:eastAsia="Arial" w:hAnsi="Arial"/>
                <w:sz w:val="18"/>
                <w:szCs w:val="18"/>
                <w:color w:val="0000FF"/>
              </w:rPr>
              <w:t>02/24/2015</w:t>
            </w:r>
          </w:p>
        </w:tc>
        <w:tc>
          <w:tcPr>
            <w:tcW w:w="1140" w:type="dxa"/>
            <w:vAlign w:val="bottom"/>
          </w:tcPr>
          <w:p>
            <w:pPr>
              <w:spacing w:after="0"/>
              <w:rPr>
                <w:sz w:val="22"/>
                <w:szCs w:val="22"/>
                <w:color w:val="auto"/>
              </w:rPr>
            </w:pPr>
          </w:p>
        </w:tc>
        <w:tc>
          <w:tcPr>
            <w:tcW w:w="82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jc w:val="right"/>
              <w:ind w:right="52"/>
              <w:spacing w:after="0"/>
              <w:rPr>
                <w:sz w:val="20"/>
                <w:szCs w:val="20"/>
                <w:color w:val="auto"/>
              </w:rPr>
            </w:pPr>
            <w:r>
              <w:rPr>
                <w:rFonts w:ascii="Arial" w:cs="Arial" w:eastAsia="Arial" w:hAnsi="Arial"/>
                <w:sz w:val="18"/>
                <w:szCs w:val="18"/>
                <w:color w:val="0000FF"/>
              </w:rPr>
              <w:t>49,390</w:t>
            </w:r>
          </w:p>
        </w:tc>
        <w:tc>
          <w:tcPr>
            <w:tcW w:w="540" w:type="dxa"/>
            <w:vAlign w:val="bottom"/>
            <w:vMerge w:val="restart"/>
          </w:tcPr>
          <w:p>
            <w:pPr>
              <w:jc w:val="right"/>
              <w:ind w:right="110"/>
              <w:spacing w:after="0"/>
              <w:rPr>
                <w:sz w:val="20"/>
                <w:szCs w:val="20"/>
                <w:color w:val="auto"/>
              </w:rPr>
            </w:pPr>
            <w:r>
              <w:rPr>
                <w:rFonts w:ascii="Arial" w:cs="Arial" w:eastAsia="Arial" w:hAnsi="Arial"/>
                <w:sz w:val="18"/>
                <w:szCs w:val="18"/>
                <w:color w:val="0000FF"/>
              </w:rPr>
              <w:t>D</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32.99</w:t>
            </w:r>
            <w:r>
              <w:rPr>
                <w:rFonts w:ascii="Arial" w:cs="Arial" w:eastAsia="Arial" w:hAnsi="Arial"/>
                <w:sz w:val="22"/>
                <w:szCs w:val="22"/>
                <w:color w:val="008000"/>
                <w:w w:val="93"/>
                <w:vertAlign w:val="superscript"/>
              </w:rPr>
              <w:t>(2)</w:t>
            </w:r>
          </w:p>
        </w:tc>
        <w:tc>
          <w:tcPr>
            <w:tcW w:w="1160" w:type="dxa"/>
            <w:vAlign w:val="bottom"/>
            <w:vMerge w:val="restart"/>
          </w:tcPr>
          <w:p>
            <w:pPr>
              <w:ind w:left="300"/>
              <w:spacing w:after="0"/>
              <w:rPr>
                <w:sz w:val="20"/>
                <w:szCs w:val="20"/>
                <w:color w:val="auto"/>
              </w:rPr>
            </w:pPr>
            <w:r>
              <w:rPr>
                <w:rFonts w:ascii="Arial" w:cs="Arial" w:eastAsia="Arial" w:hAnsi="Arial"/>
                <w:sz w:val="18"/>
                <w:szCs w:val="18"/>
                <w:color w:val="0000FF"/>
              </w:rPr>
              <w:t>288,538</w:t>
            </w:r>
          </w:p>
        </w:tc>
        <w:tc>
          <w:tcPr>
            <w:tcW w:w="960" w:type="dxa"/>
            <w:vAlign w:val="bottom"/>
            <w:vMerge w:val="restart"/>
          </w:tcPr>
          <w:p>
            <w:pPr>
              <w:ind w:left="36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(3)</w:t>
            </w: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29" w:lineRule="exact"/>
        <w:rPr>
          <w:sz w:val="24"/>
          <w:szCs w:val="24"/>
          <w:color w:val="auto"/>
        </w:rPr>
      </w:pPr>
    </w:p>
    <w:p>
      <w:pPr>
        <w:sectPr>
          <w:pgSz w:w="11900" w:h="16838" w:orient="portrait"/>
          <w:cols w:equalWidth="0" w:num="1">
            <w:col w:w="11420"/>
          </w:cols>
          <w:pgMar w:left="240" w:top="226" w:right="239" w:bottom="0" w:gutter="0" w:footer="0" w:header="0"/>
          <w:type w:val="continuous"/>
        </w:sect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15"/>
          <w:szCs w:val="15"/>
          <w:color w:val="0000FF"/>
        </w:rPr>
        <w:t>Common Stock, par value $0.001 per</w:t>
      </w:r>
    </w:p>
    <w:p>
      <w:pPr>
        <w:spacing w:after="0" w:line="50" w:lineRule="exact"/>
        <w:rPr>
          <w:sz w:val="24"/>
          <w:szCs w:val="24"/>
          <w:color w:val="auto"/>
        </w:rPr>
      </w:pPr>
    </w:p>
    <w:p>
      <w:pPr>
        <w:ind w:left="80"/>
        <w:spacing w:after="0"/>
        <w:rPr>
          <w:sz w:val="20"/>
          <w:szCs w:val="20"/>
          <w:color w:val="auto"/>
        </w:rPr>
      </w:pPr>
      <w:r>
        <w:rPr>
          <w:rFonts w:ascii="Arial" w:cs="Arial" w:eastAsia="Arial" w:hAnsi="Arial"/>
          <w:sz w:val="18"/>
          <w:szCs w:val="18"/>
          <w:color w:val="0000FF"/>
        </w:rPr>
        <w:t>share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333,185</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(4)</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177,134</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(5)</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(6)</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90"/>
              </w:rPr>
              <w:t>84,000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(7)</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960" w:type="dxa"/>
            <w:vAlign w:val="bottom"/>
            <w:vMerge w:val="restart"/>
          </w:tcPr>
          <w:p>
            <w:pPr>
              <w:jc w:val="center"/>
              <w:ind w:right="292"/>
              <w:spacing w:after="0"/>
              <w:rPr>
                <w:sz w:val="20"/>
                <w:szCs w:val="20"/>
                <w:color w:val="auto"/>
              </w:rPr>
            </w:pPr>
            <w:r>
              <w:rPr>
                <w:rFonts w:ascii="Arial" w:cs="Arial" w:eastAsia="Arial" w:hAnsi="Arial"/>
                <w:sz w:val="18"/>
                <w:szCs w:val="18"/>
                <w:color w:val="0000FF"/>
                <w:w w:val="89"/>
              </w:rPr>
              <w:t>250,000</w:t>
            </w:r>
          </w:p>
        </w:tc>
        <w:tc>
          <w:tcPr>
            <w:tcW w:w="680" w:type="dxa"/>
            <w:vAlign w:val="bottom"/>
            <w:vMerge w:val="restart"/>
          </w:tcPr>
          <w:p>
            <w:pPr>
              <w:ind w:left="360"/>
              <w:spacing w:after="0"/>
              <w:rPr>
                <w:sz w:val="20"/>
                <w:szCs w:val="20"/>
                <w:color w:val="auto"/>
              </w:rPr>
            </w:pPr>
            <w:r>
              <w:rPr>
                <w:rFonts w:ascii="Arial" w:cs="Arial" w:eastAsia="Arial" w:hAnsi="Arial"/>
                <w:sz w:val="18"/>
                <w:szCs w:val="18"/>
                <w:color w:val="0000FF"/>
              </w:rPr>
              <w:t>I</w:t>
            </w:r>
          </w:p>
        </w:tc>
        <w:tc>
          <w:tcPr>
            <w:tcW w:w="1020" w:type="dxa"/>
            <w:vAlign w:val="bottom"/>
          </w:tcPr>
          <w:p>
            <w:pPr>
              <w:ind w:left="26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9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vMerge w:val="restart"/>
          </w:tcPr>
          <w:p>
            <w:pPr>
              <w:ind w:left="260"/>
              <w:spacing w:after="0"/>
              <w:rPr>
                <w:sz w:val="20"/>
                <w:szCs w:val="20"/>
                <w:color w:val="auto"/>
              </w:rPr>
            </w:pPr>
            <w:r>
              <w:rPr>
                <w:rFonts w:ascii="Arial" w:cs="Arial" w:eastAsia="Arial" w:hAnsi="Arial"/>
                <w:sz w:val="18"/>
                <w:szCs w:val="18"/>
                <w:color w:val="0000FF"/>
                <w:w w:val="83"/>
              </w:rPr>
              <w:t>Footnote</w:t>
            </w:r>
            <w:r>
              <w:rPr>
                <w:rFonts w:ascii="Arial" w:cs="Arial" w:eastAsia="Arial" w:hAnsi="Arial"/>
                <w:sz w:val="22"/>
                <w:szCs w:val="22"/>
                <w:color w:val="008000"/>
                <w:w w:val="83"/>
                <w:vertAlign w:val="superscript"/>
              </w:rPr>
              <w:t>(8)</w:t>
            </w: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ectPr>
          <w:pgSz w:w="11900" w:h="16838" w:orient="portrait"/>
          <w:cols w:equalWidth="0" w:num="2">
            <w:col w:w="7960" w:space="720"/>
            <w:col w:w="27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0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$32.45 to $33.21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2012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2005 Grantor Retained Annuity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Spousal Lifetime Access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Shikha Kapoor 2005 Family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Rohit Kapoor 2013 Grantor Retained Annuity Trust.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02/26/2015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2019-12-08T11:07:25Z</dcterms:created>
  <dcterms:modified xsi:type="dcterms:W3CDTF">2019-12-08T11:07:25Z</dcterms:modified>
</cp:coreProperties>
</file>