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2"/>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2"/>
            <w:vMerge w:val="restart"/>
          </w:tcPr>
          <w:p>
            <w:pPr>
              <w:jc w:val="center"/>
              <w:ind w:right="78"/>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40" w:type="dxa"/>
            <w:vAlign w:val="bottom"/>
          </w:tcPr>
          <w:p>
            <w:pPr>
              <w:spacing w:after="0"/>
              <w:rPr>
                <w:sz w:val="11"/>
                <w:szCs w:val="11"/>
                <w:color w:val="auto"/>
              </w:rPr>
            </w:pPr>
          </w:p>
        </w:tc>
        <w:tc>
          <w:tcPr>
            <w:tcW w:w="4500" w:type="dxa"/>
            <w:vAlign w:val="bottom"/>
            <w:gridSpan w:val="19"/>
            <w:vMerge w:val="restart"/>
          </w:tcPr>
          <w:p>
            <w:pPr>
              <w:jc w:val="center"/>
              <w:ind w:right="50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3"/>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500" w:type="dxa"/>
            <w:vAlign w:val="bottom"/>
            <w:gridSpan w:val="19"/>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gridSpan w:val="11"/>
          </w:tcPr>
          <w:p>
            <w:pPr>
              <w:jc w:val="center"/>
              <w:ind w:right="240"/>
              <w:spacing w:after="0"/>
              <w:rPr>
                <w:sz w:val="20"/>
                <w:szCs w:val="20"/>
                <w:color w:val="auto"/>
              </w:rPr>
            </w:pPr>
            <w:r>
              <w:rPr>
                <w:rFonts w:ascii="Arial" w:cs="Arial" w:eastAsia="Arial" w:hAnsi="Arial"/>
                <w:sz w:val="13"/>
                <w:szCs w:val="13"/>
                <w:color w:val="auto"/>
                <w:w w:val="98"/>
              </w:rPr>
              <w:t>or Section 30(h) of the Investment Company Act of 1940</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4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7"/>
          </w:tcPr>
          <w:p>
            <w:pPr>
              <w:ind w:left="6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restart"/>
          </w:tcPr>
          <w:p>
            <w:pPr>
              <w:spacing w:after="0" w:line="237"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Mahon Anita</w:t>
              </w:r>
            </w:hyperlink>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80" w:type="dxa"/>
            <w:vAlign w:val="bottom"/>
            <w:tcBorders>
              <w:bottom w:val="single" w:sz="8" w:color="0000EE"/>
            </w:tcBorders>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7"/>
                <w:szCs w:val="7"/>
                <w:color w:val="auto"/>
              </w:rPr>
            </w:pPr>
          </w:p>
        </w:tc>
        <w:tc>
          <w:tcPr>
            <w:tcW w:w="1220" w:type="dxa"/>
            <w:vAlign w:val="bottom"/>
            <w:gridSpan w:val="4"/>
            <w:vMerge w:val="restart"/>
          </w:tcPr>
          <w:p>
            <w:pPr>
              <w:ind w:left="140"/>
              <w:spacing w:after="0" w:line="143"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60" w:type="dxa"/>
            <w:vAlign w:val="bottom"/>
            <w:gridSpan w:val="6"/>
            <w:vMerge w:val="restart"/>
          </w:tcPr>
          <w:p>
            <w:pPr>
              <w:ind w:left="20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60" w:type="dxa"/>
            <w:vAlign w:val="bottom"/>
            <w:gridSpan w:val="8"/>
          </w:tcPr>
          <w:p>
            <w:pPr>
              <w:ind w:left="340"/>
              <w:spacing w:after="0"/>
              <w:rPr>
                <w:sz w:val="20"/>
                <w:szCs w:val="20"/>
                <w:color w:val="auto"/>
              </w:rPr>
            </w:pPr>
            <w:r>
              <w:rPr>
                <w:rFonts w:ascii="Arial" w:cs="Arial" w:eastAsia="Arial" w:hAnsi="Arial"/>
                <w:sz w:val="17"/>
                <w:szCs w:val="17"/>
                <w:color w:val="0000FF"/>
              </w:rPr>
              <w:t>06/21/2023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gridSpan w:val="11"/>
            <w:vMerge w:val="restart"/>
          </w:tcPr>
          <w:p>
            <w:pPr>
              <w:ind w:left="220"/>
              <w:spacing w:after="0"/>
              <w:rPr>
                <w:sz w:val="20"/>
                <w:szCs w:val="20"/>
                <w:color w:val="auto"/>
              </w:rPr>
            </w:pPr>
            <w:r>
              <w:rPr>
                <w:rFonts w:ascii="Arial" w:cs="Arial" w:eastAsia="Arial" w:hAnsi="Arial"/>
                <w:sz w:val="17"/>
                <w:szCs w:val="17"/>
                <w:color w:val="0000FF"/>
              </w:rPr>
              <w:t>EVP &amp; Chief Growth Officer</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6" w:lineRule="exact"/>
              <w:rPr>
                <w:sz w:val="20"/>
                <w:szCs w:val="20"/>
                <w:color w:val="auto"/>
              </w:rPr>
            </w:pPr>
            <w:r>
              <w:rPr>
                <w:rFonts w:ascii="Arial" w:cs="Arial" w:eastAsia="Arial" w:hAnsi="Arial"/>
                <w:sz w:val="17"/>
                <w:szCs w:val="17"/>
                <w:color w:val="0000FF"/>
              </w:rPr>
              <w:t>EXLSERVICE HOLDINGS INC</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tcPr>
          <w:p>
            <w:pPr>
              <w:ind w:left="20"/>
              <w:spacing w:after="0"/>
              <w:rPr>
                <w:sz w:val="20"/>
                <w:szCs w:val="20"/>
                <w:color w:val="auto"/>
              </w:rPr>
            </w:pPr>
            <w:r>
              <w:rPr>
                <w:rFonts w:ascii="Arial" w:cs="Arial" w:eastAsia="Arial" w:hAnsi="Arial"/>
                <w:sz w:val="17"/>
                <w:szCs w:val="17"/>
                <w:color w:val="0000FF"/>
              </w:rPr>
              <w:t>320 PARK AVENUE, 29TH FLOOR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60"/>
              <w:spacing w:after="0" w:line="146"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11"/>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04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8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80" w:type="dxa"/>
            <w:vAlign w:val="bottom"/>
            <w:gridSpan w:val="12"/>
            <w:vMerge w:val="continue"/>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3"/>
          </w:tcPr>
          <w:p>
            <w:pPr>
              <w:ind w:left="8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3"/>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8"/>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8"/>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2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6"/>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4"/>
              </w:rPr>
              <w:t>Date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w w:val="85"/>
              </w:rPr>
              <w:t>06/21/2033</w:t>
            </w:r>
            <w:r>
              <w:rPr>
                <w:rFonts w:ascii="Arial" w:cs="Arial" w:eastAsia="Arial" w:hAnsi="Arial"/>
                <w:sz w:val="21"/>
                <w:szCs w:val="21"/>
                <w:color w:val="008000"/>
                <w:w w:val="85"/>
                <w:vertAlign w:val="superscript"/>
              </w:rPr>
              <w:t>(1)</w:t>
            </w:r>
          </w:p>
        </w:tc>
        <w:tc>
          <w:tcPr>
            <w:tcW w:w="880" w:type="dxa"/>
            <w:vAlign w:val="bottom"/>
            <w:gridSpan w:val="3"/>
            <w:vMerge w:val="restart"/>
          </w:tcPr>
          <w:p>
            <w:pPr>
              <w:ind w:left="120"/>
              <w:spacing w:after="0"/>
              <w:rPr>
                <w:sz w:val="20"/>
                <w:szCs w:val="20"/>
                <w:color w:val="auto"/>
              </w:rPr>
            </w:pPr>
            <w:r>
              <w:rPr>
                <w:rFonts w:ascii="Arial" w:cs="Arial" w:eastAsia="Arial" w:hAnsi="Arial"/>
                <w:sz w:val="13"/>
                <w:szCs w:val="13"/>
                <w:color w:val="0000FF"/>
                <w:w w:val="90"/>
              </w:rPr>
              <w:t>06/21/2033</w:t>
            </w:r>
            <w:r>
              <w:rPr>
                <w:rFonts w:ascii="Arial" w:cs="Arial" w:eastAsia="Arial" w:hAnsi="Arial"/>
                <w:sz w:val="21"/>
                <w:szCs w:val="21"/>
                <w:color w:val="008000"/>
                <w:w w:val="90"/>
                <w:vertAlign w:val="superscript"/>
              </w:rPr>
              <w:t>(1)</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26,865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Options</w:t>
            </w:r>
          </w:p>
        </w:tc>
        <w:tc>
          <w:tcPr>
            <w:tcW w:w="64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150.75</w:t>
            </w:r>
          </w:p>
        </w:tc>
        <w:tc>
          <w:tcPr>
            <w:tcW w:w="140" w:type="dxa"/>
            <w:vAlign w:val="bottom"/>
          </w:tcPr>
          <w:p>
            <w:pPr>
              <w:spacing w:after="0"/>
              <w:rPr>
                <w:sz w:val="12"/>
                <w:szCs w:val="12"/>
                <w:color w:val="auto"/>
              </w:rPr>
            </w:pPr>
          </w:p>
        </w:tc>
        <w:tc>
          <w:tcPr>
            <w:tcW w:w="1080" w:type="dxa"/>
            <w:vAlign w:val="bottom"/>
          </w:tcPr>
          <w:p>
            <w:pPr>
              <w:jc w:val="right"/>
              <w:ind w:right="196"/>
              <w:spacing w:after="0" w:line="141" w:lineRule="exact"/>
              <w:rPr>
                <w:sz w:val="20"/>
                <w:szCs w:val="20"/>
                <w:color w:val="auto"/>
              </w:rPr>
            </w:pPr>
            <w:r>
              <w:rPr>
                <w:rFonts w:ascii="Arial" w:cs="Arial" w:eastAsia="Arial" w:hAnsi="Arial"/>
                <w:sz w:val="13"/>
                <w:szCs w:val="13"/>
                <w:color w:val="0000FF"/>
              </w:rPr>
              <w:t>06/21/2023</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tcPr>
          <w:p>
            <w:pPr>
              <w:ind w:left="40"/>
              <w:spacing w:after="0" w:line="141" w:lineRule="exact"/>
              <w:rPr>
                <w:sz w:val="20"/>
                <w:szCs w:val="20"/>
                <w:color w:val="auto"/>
              </w:rPr>
            </w:pPr>
            <w:r>
              <w:rPr>
                <w:rFonts w:ascii="Arial" w:cs="Arial" w:eastAsia="Arial" w:hAnsi="Arial"/>
                <w:sz w:val="13"/>
                <w:szCs w:val="13"/>
                <w:color w:val="0000FF"/>
              </w:rPr>
              <w:t>A</w:t>
            </w: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w w:val="95"/>
              </w:rPr>
              <w:t>26,865</w:t>
            </w:r>
          </w:p>
        </w:tc>
        <w:tc>
          <w:tcPr>
            <w:tcW w:w="3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gridSpan w:val="3"/>
          </w:tcPr>
          <w:p>
            <w:pPr>
              <w:ind w:left="220"/>
              <w:spacing w:after="0" w:line="141" w:lineRule="exact"/>
              <w:rPr>
                <w:sz w:val="20"/>
                <w:szCs w:val="20"/>
                <w:color w:val="auto"/>
              </w:rPr>
            </w:pPr>
            <w:r>
              <w:rPr>
                <w:rFonts w:ascii="Arial" w:cs="Arial" w:eastAsia="Arial" w:hAnsi="Arial"/>
                <w:sz w:val="13"/>
                <w:szCs w:val="13"/>
                <w:color w:val="0000FF"/>
                <w:w w:val="85"/>
              </w:rPr>
              <w:t>26,865</w:t>
            </w:r>
          </w:p>
        </w:tc>
        <w:tc>
          <w:tcPr>
            <w:tcW w:w="280" w:type="dxa"/>
            <w:vAlign w:val="bottom"/>
          </w:tcPr>
          <w:p>
            <w:pPr>
              <w:spacing w:after="0"/>
              <w:rPr>
                <w:sz w:val="12"/>
                <w:szCs w:val="12"/>
                <w:color w:val="auto"/>
              </w:rPr>
            </w:pPr>
          </w:p>
        </w:tc>
        <w:tc>
          <w:tcPr>
            <w:tcW w:w="64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(right to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-5888990</wp:posOffset>
            </wp:positionV>
            <wp:extent cx="7046595"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8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June 21, 2024, subject to certain forfeiture and acceleration events pursuant to the ExlService Holdings, Inc. 2018 Omnibus Incentive Plan.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Lazbart Oseni,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06/23/2023</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05281" TargetMode="External"/><Relationship Id="rId9"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2023-06-23T16:52:29Z</dcterms:created>
  <dcterms:modified xsi:type="dcterms:W3CDTF">2023-06-23T16:52:29Z</dcterms:modified>
</cp:coreProperties>
</file>