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Sections 13 or 15(d)</w:t>
      </w:r>
    </w:p>
    <w:p>
      <w:pPr>
        <w:jc w:val="center"/>
        <w:ind w:right="-5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680"/>
        <w:spacing w:after="0"/>
        <w:rPr>
          <w:sz w:val="20"/>
          <w:szCs w:val="20"/>
          <w:color w:val="auto"/>
        </w:rPr>
      </w:pPr>
      <w:r>
        <w:rPr>
          <w:rFonts w:ascii="Arial" w:cs="Arial" w:eastAsia="Arial" w:hAnsi="Arial"/>
          <w:sz w:val="21"/>
          <w:szCs w:val="21"/>
          <w:b w:val="1"/>
          <w:bCs w:val="1"/>
          <w:color w:val="auto"/>
        </w:rPr>
        <w:t>Date of Report (Date of earliest event reported): October 30,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241300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EXLSERVICE HOLDINGS, INC.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860"/>
          </w:cols>
          <w:pgMar w:left="240" w:top="368" w:right="7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001-33089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82-0572194</w:t>
      </w:r>
    </w:p>
    <w:p>
      <w:pPr>
        <w:spacing w:after="0" w:line="31" w:lineRule="exact"/>
        <w:rPr>
          <w:sz w:val="24"/>
          <w:szCs w:val="24"/>
          <w:color w:val="auto"/>
        </w:rPr>
      </w:pPr>
    </w:p>
    <w:p>
      <w:pPr>
        <w:sectPr>
          <w:pgSz w:w="11900" w:h="16838" w:orient="portrait"/>
          <w:cols w:equalWidth="0" w:num="3">
            <w:col w:w="4740" w:space="720"/>
            <w:col w:w="2980" w:space="720"/>
            <w:col w:w="1700"/>
          </w:cols>
          <w:pgMar w:left="240" w:top="368" w:right="79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1820"/>
          </w:cols>
          <w:pgMar w:left="240" w:top="368" w:right="799" w:bottom="1440" w:gutter="0" w:footer="0" w:header="0"/>
          <w:type w:val="continuous"/>
        </w:sectPr>
      </w:pPr>
    </w:p>
    <w:p>
      <w:pPr>
        <w:spacing w:after="0" w:line="6"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280 Park Avenue, 38</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w:t>
      </w:r>
    </w:p>
    <w:p>
      <w:pPr>
        <w:spacing w:after="0" w:line="27"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New York, New York 10017</w:t>
      </w:r>
    </w:p>
    <w:p>
      <w:pPr>
        <w:spacing w:after="0" w:line="2" w:lineRule="exact"/>
        <w:rPr>
          <w:sz w:val="24"/>
          <w:szCs w:val="24"/>
          <w:color w:val="auto"/>
        </w:rPr>
      </w:pPr>
    </w:p>
    <w:p>
      <w:pPr>
        <w:jc w:val="center"/>
        <w:ind w:right="-55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559"/>
        <w:spacing w:after="0"/>
        <w:rPr>
          <w:sz w:val="20"/>
          <w:szCs w:val="20"/>
          <w:color w:val="auto"/>
        </w:rPr>
      </w:pPr>
      <w:r>
        <w:rPr>
          <w:rFonts w:ascii="Arial" w:cs="Arial" w:eastAsia="Arial" w:hAnsi="Arial"/>
          <w:sz w:val="16"/>
          <w:szCs w:val="16"/>
          <w:b w:val="1"/>
          <w:bCs w:val="1"/>
          <w:color w:val="auto"/>
        </w:rPr>
        <w:t>Registrant’s telephone number, including area code: (212) 277-7100</w:t>
      </w:r>
    </w:p>
    <w:p>
      <w:pPr>
        <w:spacing w:after="0" w:line="248"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4040"/>
        <w:spacing w:after="0"/>
        <w:rPr>
          <w:sz w:val="20"/>
          <w:szCs w:val="20"/>
          <w:color w:val="auto"/>
        </w:rPr>
      </w:pPr>
      <w:r>
        <w:rPr>
          <w:rFonts w:ascii="Arial" w:cs="Arial" w:eastAsia="Arial" w:hAnsi="Arial"/>
          <w:sz w:val="14"/>
          <w:szCs w:val="14"/>
          <w:b w:val="1"/>
          <w:bCs w:val="1"/>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860"/>
          </w:cols>
          <w:pgMar w:left="240" w:top="368" w:right="799" w:bottom="1440" w:gutter="0" w:footer="0" w:header="0"/>
          <w:type w:val="continuous"/>
        </w:sectPr>
      </w:pPr>
    </w:p>
    <w:p>
      <w:pPr>
        <w:spacing w:after="0" w:line="200" w:lineRule="exact"/>
        <w:rPr>
          <w:sz w:val="24"/>
          <w:szCs w:val="24"/>
          <w:color w:val="auto"/>
        </w:rPr>
      </w:pPr>
    </w:p>
    <w:p>
      <w:pPr>
        <w:spacing w:after="0" w:line="37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240" w:top="368" w:right="7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On October 30, 2014, ExlService Holdings, Inc. (the “Company”) reported its results of operations for the three months ended September 30, 2014. A copy of the press release issued by the Company concerning the foregoing is furnished herewith as Exhibit 99.1 and is incorporated herein by reference.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p>
      <w:pPr>
        <w:ind w:left="920"/>
        <w:spacing w:after="0"/>
        <w:tabs>
          <w:tab w:leader="none" w:pos="186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u w:val="single" w:color="auto"/>
          <w:color w:val="auto"/>
        </w:rPr>
        <w:t>Description</w:t>
      </w:r>
    </w:p>
    <w:p>
      <w:pPr>
        <w:spacing w:after="0" w:line="117" w:lineRule="exact"/>
        <w:rPr>
          <w:sz w:val="20"/>
          <w:szCs w:val="20"/>
          <w:color w:val="auto"/>
        </w:rPr>
      </w:pPr>
    </w:p>
    <w:p>
      <w:pPr>
        <w:ind w:left="920"/>
        <w:spacing w:after="0"/>
        <w:tabs>
          <w:tab w:leader="none" w:pos="18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October 30, 2014 (furnished pursuant to Item 2.02)</w:t>
      </w:r>
    </w:p>
    <w:p>
      <w:pPr>
        <w:sectPr>
          <w:pgSz w:w="11900" w:h="16838" w:orient="portrait"/>
          <w:cols w:equalWidth="0" w:num="1">
            <w:col w:w="11100"/>
          </w:cols>
          <w:pgMar w:left="240" w:top="270" w:right="559" w:bottom="1440" w:gutter="0" w:footer="0" w:header="0"/>
        </w:sectPr>
      </w:pPr>
    </w:p>
    <w:bookmarkStart w:id="2" w:name="page3"/>
    <w:bookmarkEnd w:id="2"/>
    <w:p>
      <w:pPr>
        <w:jc w:val="center"/>
        <w:ind w:right="-6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EXLSERVICE HOLDINGS, INC.</w:t>
      </w:r>
    </w:p>
    <w:p>
      <w:pPr>
        <w:spacing w:after="0" w:line="229" w:lineRule="exact"/>
        <w:rPr>
          <w:sz w:val="20"/>
          <w:szCs w:val="20"/>
          <w:color w:val="auto"/>
        </w:rPr>
      </w:pPr>
    </w:p>
    <w:p>
      <w:pPr>
        <w:spacing w:after="0"/>
        <w:tabs>
          <w:tab w:leader="none" w:pos="5880" w:val="left"/>
          <w:tab w:leader="none" w:pos="8020" w:val="left"/>
        </w:tabs>
        <w:rPr>
          <w:sz w:val="20"/>
          <w:szCs w:val="20"/>
          <w:color w:val="auto"/>
        </w:rPr>
      </w:pPr>
      <w:r>
        <w:rPr>
          <w:rFonts w:ascii="Arial" w:cs="Arial" w:eastAsia="Arial" w:hAnsi="Arial"/>
          <w:sz w:val="18"/>
          <w:szCs w:val="18"/>
          <w:color w:val="auto"/>
        </w:rPr>
        <w:t>Date: October 30,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w:t>
      </w:r>
      <w:r>
        <w:rPr>
          <w:rFonts w:ascii="Arial" w:cs="Arial" w:eastAsia="Arial" w:hAnsi="Arial"/>
          <w:sz w:val="14"/>
          <w:szCs w:val="14"/>
          <w:color w:val="auto"/>
        </w:rPr>
        <w:t>S</w:t>
      </w:r>
      <w:r>
        <w:rPr>
          <w:rFonts w:ascii="Arial" w:cs="Arial" w:eastAsia="Arial" w:hAnsi="Arial"/>
          <w:sz w:val="17"/>
          <w:szCs w:val="17"/>
          <w:color w:val="auto"/>
        </w:rPr>
        <w:t>/ V</w:t>
      </w:r>
      <w:r>
        <w:rPr>
          <w:rFonts w:ascii="Arial" w:cs="Arial" w:eastAsia="Arial" w:hAnsi="Arial"/>
          <w:sz w:val="14"/>
          <w:szCs w:val="14"/>
          <w:color w:val="auto"/>
        </w:rPr>
        <w:t>ISHAL</w:t>
      </w:r>
      <w:r>
        <w:rPr>
          <w:rFonts w:ascii="Arial" w:cs="Arial" w:eastAsia="Arial" w:hAnsi="Arial"/>
          <w:sz w:val="17"/>
          <w:szCs w:val="17"/>
          <w:color w:val="auto"/>
        </w:rPr>
        <w:t xml:space="preserve"> C</w:t>
      </w:r>
      <w:r>
        <w:rPr>
          <w:rFonts w:ascii="Arial" w:cs="Arial" w:eastAsia="Arial" w:hAnsi="Arial"/>
          <w:sz w:val="14"/>
          <w:szCs w:val="14"/>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1"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Vishal Chhibbar</w:t>
      </w:r>
    </w:p>
    <w:p>
      <w:pPr>
        <w:jc w:val="center"/>
        <w:ind w:left="6280"/>
        <w:spacing w:after="0" w:line="221" w:lineRule="auto"/>
        <w:rPr>
          <w:sz w:val="20"/>
          <w:szCs w:val="20"/>
          <w:color w:val="auto"/>
        </w:rPr>
      </w:pPr>
      <w:r>
        <w:rPr>
          <w:rFonts w:ascii="Arial" w:cs="Arial" w:eastAsia="Arial" w:hAnsi="Arial"/>
          <w:sz w:val="14"/>
          <w:szCs w:val="14"/>
          <w:b w:val="1"/>
          <w:bCs w:val="1"/>
          <w:color w:val="auto"/>
        </w:rPr>
        <w:t>Executive Vice President and Chief Financial Officer</w:t>
      </w:r>
    </w:p>
    <w:p>
      <w:pPr>
        <w:jc w:val="center"/>
        <w:ind w:left="6280"/>
        <w:spacing w:after="0" w:line="221" w:lineRule="auto"/>
        <w:rPr>
          <w:sz w:val="20"/>
          <w:szCs w:val="20"/>
          <w:color w:val="auto"/>
        </w:rPr>
      </w:pPr>
      <w:r>
        <w:rPr>
          <w:rFonts w:ascii="Arial" w:cs="Arial" w:eastAsia="Arial" w:hAnsi="Arial"/>
          <w:sz w:val="14"/>
          <w:szCs w:val="14"/>
          <w:b w:val="1"/>
          <w:bCs w:val="1"/>
          <w:color w:val="auto"/>
        </w:rPr>
        <w:t>(Duly Authorized Signatory, Principal Financial and</w:t>
      </w:r>
    </w:p>
    <w:p>
      <w:pPr>
        <w:spacing w:after="0" w:line="1"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Accounting Officer)</w:t>
      </w:r>
    </w:p>
    <w:p>
      <w:pPr>
        <w:sectPr>
          <w:pgSz w:w="11900" w:h="16838" w:orient="portrait"/>
          <w:cols w:equalWidth="0" w:num="1">
            <w:col w:w="10800"/>
          </w:cols>
          <w:pgMar w:left="240" w:top="270" w:right="859" w:bottom="1440" w:gutter="0" w:footer="0" w:header="0"/>
        </w:sectPr>
      </w:pPr>
    </w:p>
    <w:bookmarkStart w:id="3" w:name="page4"/>
    <w:bookmarkEnd w:id="3"/>
    <w:p>
      <w:pPr>
        <w:jc w:val="right"/>
        <w:ind w:right="37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u w:val="single" w:color="auto"/>
          <w:color w:val="auto"/>
        </w:rPr>
        <w:t>Description</w:t>
      </w:r>
    </w:p>
    <w:p>
      <w:pPr>
        <w:spacing w:after="0" w:line="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October 30, 2014 (furnished pursuant to Item 2.02)</w:t>
      </w:r>
    </w:p>
    <w:p>
      <w:pPr>
        <w:sectPr>
          <w:pgSz w:w="11900" w:h="16838" w:orient="portrait"/>
          <w:cols w:equalWidth="0" w:num="1">
            <w:col w:w="10219"/>
          </w:cols>
          <w:pgMar w:left="240" w:top="27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Contact: Steven N. Barlow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280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right="10060"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624-5913 </w:t>
      </w:r>
      <w:r>
        <w:rPr>
          <w:rFonts w:ascii="Arial" w:cs="Arial" w:eastAsia="Arial" w:hAnsi="Arial"/>
          <w:sz w:val="16"/>
          <w:szCs w:val="16"/>
          <w:u w:val="single" w:color="auto"/>
          <w:color w:val="auto"/>
        </w:rPr>
        <w:t>ir@exlservice.com</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 REPORTS 2014 THIRD QUARTER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2014 Third Quarter Revenues of $122.5 Million and Adjusted Diluted Earnings Per Share (EPS) of $0.44</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New York, NY – October 30, 2014 – ExlService Holdings, Inc. (NASDAQ: EXLS), a leading provider of outsourcing and transformation services, today announced its financial results for the third quarter of 2014.</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Rohit Kapoor, Vice Chairman and CEO, commented: “EXL achieved third quarter revenues that exceeded our expectations. Growth was driven by strength in our Transformation segment which grew 38% year over year led by growth in Decision Analytics. The growth we experienced in Decision Analytics in the first half of 2014 continues in the second half of the year with new engagements in the banking, healthcare and retail industries. In our Outsourcing segment, we won two new client engagements in utilities, and travel, transportation and logistics.”</w:t>
      </w:r>
    </w:p>
    <w:p>
      <w:pPr>
        <w:spacing w:after="0" w:line="18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“Today we announced the acquisition of Overland Solutions, Inc., a leading provider of underwriting support services including premium audit, commercial and residential underwriting surveys and outsourced loss control services. Overland Solutions will enhance EXL’s position in the property and casualty insurance (P&amp;C) industry with its leading domain expertise, proprietary technology, and client relationships which include 21 of the top 25 P&amp;C underwriters. Overland Solutions adds to EXL’s on-shore delivery capabilities with its nationwide footprint. We look forward to integrating Overland Solutions with our Outsourcing business and enhancing the suite of BPaaS offerings EXL provides to P&amp;C insurers.”</w:t>
      </w:r>
    </w:p>
    <w:p>
      <w:pPr>
        <w:spacing w:after="0" w:line="173"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Vishal Chhibbar, EXL’s CFO, commented: “In the third quarter, EXL achieved revenue of $122.5 million, or $132.1 million excluding $9.6 million of reimbursement of disentanglement costs. Based on our strong revenue performance and cost discipline in the third quarter, we were able to sequentially improve adjusted operating margins by 210 basis points. The acquisition of Overland Solutions is expected to be immediately accretive to adjusted EPS.”</w:t>
      </w:r>
    </w:p>
    <w:p>
      <w:pPr>
        <w:spacing w:after="0" w:line="147"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“For 2014, we are revising our revenue guidance upward to $514 million to $518 million from $490 million to $503 million. The drivers of our guidance revision include the contribution of Overland Solutions, strong business performance, and higher revenue from transitioning clients. We believe our 2014 adjusted EPS range will be at the higher end of our previous guidance of $1.70-$1.80. Our revenue and adjusted EPS guidance excludes the impact of the reimbursement of disentanglement costs.”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Highlights – Third Quarter 2014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Reconciliations of adjusted financial measures to GAAP are included at the end of this release.</w:t>
      </w:r>
    </w:p>
    <w:p>
      <w:pPr>
        <w:spacing w:after="0" w:line="131" w:lineRule="exact"/>
        <w:rPr>
          <w:sz w:val="20"/>
          <w:szCs w:val="20"/>
          <w:color w:val="auto"/>
        </w:rPr>
      </w:pPr>
    </w:p>
    <w:p>
      <w:pPr>
        <w:ind w:left="900" w:right="40" w:hanging="325"/>
        <w:spacing w:after="0" w:line="273"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Revenue for the quarter ended September 30, 2014 was $122.5 million compared to $122.3 million for the quarter ended September 30, 2013 and $119.7 million for the quarter ended June 30, 2014. Revenue for the quarter ended September 30, 2014 was reduced by approximately $9.6 million due to the reimbursement of disentanglement costs. Outsourcing services revenue for the quarter ended September 30, 2014 was $91.2 million compared to $99.7 million for the quarter ended September 30, 2013 and $94.3 million for the quarter ended June 30, 2014. Transformation services revenue for the quarter ended September 30, 2014 was $31.3 million compared to $22.6 million for the quarter ended September 30, 2013 and $25.4 million for the quarter ended June 30, 2014.</w:t>
      </w:r>
    </w:p>
    <w:p>
      <w:pPr>
        <w:spacing w:after="0" w:line="83" w:lineRule="exact"/>
        <w:rPr>
          <w:rFonts w:ascii="Arial" w:cs="Arial" w:eastAsia="Arial" w:hAnsi="Arial"/>
          <w:sz w:val="17"/>
          <w:szCs w:val="17"/>
          <w:color w:val="auto"/>
        </w:rPr>
      </w:pPr>
    </w:p>
    <w:p>
      <w:pPr>
        <w:jc w:val="both"/>
        <w:ind w:left="900" w:right="20" w:hanging="325"/>
        <w:spacing w:after="0" w:line="30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Gross margin for the quarter ended September 30, 2014 was 30.6% compared to 41.1% for the quarter ended September 30, 2013 and 32.1% for the quarter ended June 30, 2014. Outsourcing services gross margin for the quarter ended September 30, 2014 was 31.0% compared to 43.3% for the quarter ended September 30, 2013 and 33.7% for the quarter ended June 30, 2014. Transformation services gross margin for the quarter ended September 30, 2014 was 29.4% compared to 31.5% for the quarter ended September 30, 2013 and 26.2% for the quarter ended June 30, 2014.</w:t>
      </w:r>
    </w:p>
    <w:p>
      <w:pPr>
        <w:spacing w:after="0" w:line="59" w:lineRule="exact"/>
        <w:rPr>
          <w:rFonts w:ascii="Arial" w:cs="Arial" w:eastAsia="Arial" w:hAnsi="Arial"/>
          <w:sz w:val="16"/>
          <w:szCs w:val="16"/>
          <w:color w:val="auto"/>
        </w:rPr>
      </w:pPr>
    </w:p>
    <w:p>
      <w:pPr>
        <w:ind w:left="900" w:right="100" w:hanging="325"/>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margin for the quarter ended September 30, 2014 was 4.4% compared to 16.0% for the quarter ended September 30, 2013 and 5.1% for the quarter ended June 30, 2014. Adjusted operating margin for the quarter ended September 30, 2014 was 14.3% compared to 19.6% for the quarter ended September 30, 2013 and 12.2% for the quarter ended June 30, 2014.</w:t>
      </w:r>
    </w:p>
    <w:p>
      <w:pPr>
        <w:spacing w:after="0" w:line="86" w:lineRule="exact"/>
        <w:rPr>
          <w:rFonts w:ascii="Arial" w:cs="Arial" w:eastAsia="Arial" w:hAnsi="Arial"/>
          <w:sz w:val="18"/>
          <w:szCs w:val="18"/>
          <w:color w:val="auto"/>
        </w:rPr>
      </w:pPr>
    </w:p>
    <w:p>
      <w:pPr>
        <w:ind w:left="900" w:right="100" w:hanging="325"/>
        <w:spacing w:after="0" w:line="286"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Net income for the quarter ended September 30, 2014 was $6.1 million compared to $13.2 million for the quarter ended September 30, 2013 and $7.8 million for the quarter ended June 30, 2014. Adjusted EBITDA for the quarter ended September 30, 2014 was $24.4 million compared to $28.4 million for the quarter ended September 30, 2013 and $20.5 million for the quarter ended June 30, 2014.</w:t>
      </w:r>
    </w:p>
    <w:p>
      <w:pPr>
        <w:spacing w:after="0" w:line="70" w:lineRule="exact"/>
        <w:rPr>
          <w:rFonts w:ascii="Arial" w:cs="Arial" w:eastAsia="Arial" w:hAnsi="Arial"/>
          <w:sz w:val="17"/>
          <w:szCs w:val="17"/>
          <w:color w:val="auto"/>
        </w:rPr>
      </w:pPr>
    </w:p>
    <w:p>
      <w:pPr>
        <w:jc w:val="both"/>
        <w:ind w:left="900" w:hanging="325"/>
        <w:spacing w:after="0" w:line="286"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Diluted earnings per share for the quarter ended September 30, 2014 were $0.18 compared to $0.39 for the quarter ended September 30, 2013 and $0.23 for the quarter ended June 30, 2014. Adjusted diluted earnings per share for the quarter ended September 30, 2014 were $0.44 compared to $0.48 for the quarter ended September 30, 2013 and $0.41 for the quarter ended June 30, 2014.</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Highlights</w:t>
      </w:r>
    </w:p>
    <w:p>
      <w:pPr>
        <w:spacing w:after="0" w:line="135" w:lineRule="exact"/>
        <w:rPr>
          <w:sz w:val="20"/>
          <w:szCs w:val="20"/>
          <w:color w:val="auto"/>
        </w:rPr>
      </w:pPr>
    </w:p>
    <w:p>
      <w:pPr>
        <w:ind w:left="900" w:right="2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Acquired Overland Solutions, Inc. on October 24</w:t>
      </w:r>
      <w:r>
        <w:rPr>
          <w:rFonts w:ascii="Arial" w:cs="Arial" w:eastAsia="Arial" w:hAnsi="Arial"/>
          <w:sz w:val="15"/>
          <w:szCs w:val="15"/>
          <w:color w:val="auto"/>
        </w:rPr>
        <w:t>th</w:t>
      </w:r>
      <w:r>
        <w:rPr>
          <w:rFonts w:ascii="Arial" w:cs="Arial" w:eastAsia="Arial" w:hAnsi="Arial"/>
          <w:sz w:val="18"/>
          <w:szCs w:val="18"/>
          <w:color w:val="auto"/>
        </w:rPr>
        <w:t xml:space="preserve"> for $53 million in cash. Overland Solutions, based in Overland Park, KS, is a leading provider of underwriting support services including premium audit, commercial and residential underwriting surveys and outsourced loss control services for the P&amp;C industry. The transaction is expected to be immediately accretive to adjusted EPS and to contribute approximately $10 million of revenue in the fourth quarter.</w:t>
      </w:r>
    </w:p>
    <w:p>
      <w:pPr>
        <w:spacing w:after="0" w:line="92" w:lineRule="exact"/>
        <w:rPr>
          <w:rFonts w:ascii="Arial" w:cs="Arial" w:eastAsia="Arial" w:hAnsi="Arial"/>
          <w:sz w:val="18"/>
          <w:szCs w:val="18"/>
          <w:color w:val="auto"/>
        </w:rPr>
      </w:pPr>
    </w:p>
    <w:p>
      <w:pPr>
        <w:ind w:left="900" w:right="50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Entered into a $50 million five-year revolving credit facility and with an option to increase the commitments under the credit agreement by $50 million. The credit facility is expected to be used for working capital and strategic acquisitions.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Announced the appointment of Henry Schweppe in the role of President, Global Business and Marketing.</w:t>
      </w:r>
    </w:p>
    <w:p>
      <w:pPr>
        <w:spacing w:after="0" w:line="130" w:lineRule="exact"/>
        <w:rPr>
          <w:rFonts w:ascii="Arial" w:cs="Arial" w:eastAsia="Arial" w:hAnsi="Arial"/>
          <w:sz w:val="18"/>
          <w:szCs w:val="18"/>
          <w:color w:val="auto"/>
        </w:rPr>
      </w:pPr>
    </w:p>
    <w:p>
      <w:pPr>
        <w:ind w:left="900" w:right="52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Opened a new center in Alabang, Philippines, adding 570 workstations of additional delivery capacity and opened a new delivery center in Dallas, Texas to serve our F&amp;A clients.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Expanded multiple outsourcing services relationships, including migrating 32 new processes in the third quarter of 2014.</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Won 7 new clients during the third quarter, including 5 transformation clients.</w:t>
      </w:r>
    </w:p>
    <w:p>
      <w:pPr>
        <w:spacing w:after="0" w:line="130" w:lineRule="exact"/>
        <w:rPr>
          <w:rFonts w:ascii="Arial" w:cs="Arial" w:eastAsia="Arial" w:hAnsi="Arial"/>
          <w:sz w:val="18"/>
          <w:szCs w:val="18"/>
          <w:color w:val="auto"/>
        </w:rPr>
      </w:pPr>
    </w:p>
    <w:p>
      <w:pPr>
        <w:ind w:left="900" w:right="108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Recorded headcount as of September 30, 2014 of 23,050 (including employees under managed services), compared to 21,350 as of September 30, 2013 and 23,100 as of June 30, 2014.</w:t>
      </w:r>
    </w:p>
    <w:p>
      <w:pPr>
        <w:spacing w:after="0" w:line="75"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Reported employee attrition for the quarter ended September 30, 2014 of 38.0%, compared with 25.4% for the quarter ended September 30, 2013 and 34.1% for the quarter ended June 30, 2014.</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2014 Outlook</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Based on current visibility and an Indian rupee to U.S. dollar exchange rate of 61, EXL is increasing its guidance for calendar year 2014. Guidance excludes the impact of the reimbursement of disentanglement costs:</w:t>
      </w:r>
    </w:p>
    <w:p>
      <w:pPr>
        <w:spacing w:after="0" w:line="76"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of $514 million to $518 million.</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diluted earnings per share, excluding the impact of stock-based compensation expense, amortization of intangibles and associated tax impacts, at the higher end of our guidance of $1.70-$1.80.</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Conference Call</w:t>
      </w:r>
    </w:p>
    <w:p>
      <w:pPr>
        <w:spacing w:after="0" w:line="117"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 xml:space="preserve">ExlService Holdings, Inc. will host a conference call on Thursday, October 30, 2014 at 8:00 a.m. (ET) to discuss the EXL’s quarterly and annual operating and financial results. The conference call will be available live via the internet by accessing the investor relations section of EXL’s website at </w:t>
      </w:r>
      <w:r>
        <w:rPr>
          <w:rFonts w:ascii="Arial" w:cs="Arial" w:eastAsia="Arial" w:hAnsi="Arial"/>
          <w:sz w:val="17"/>
          <w:szCs w:val="17"/>
          <w:u w:val="single" w:color="auto"/>
          <w:color w:val="auto"/>
        </w:rPr>
        <w:t>ir.exlservice.com</w:t>
      </w:r>
      <w:r>
        <w:rPr>
          <w:rFonts w:ascii="Arial" w:cs="Arial" w:eastAsia="Arial" w:hAnsi="Arial"/>
          <w:sz w:val="17"/>
          <w:szCs w:val="17"/>
          <w:color w:val="auto"/>
        </w:rPr>
        <w:t>, where an accompanying investor-friendly spreadsheet of historical operating and financial data can also be accessed. Please go to the website at least fifteen minutes prior to the call to register, download and install any necessary audio software.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listen to the conference call via phone, please dial 1-877-303-6384 or 1-224-357-2191 and an operator will assist you. For those who cannot access the live broadcast, a replay will be available on the EXL website (</w:t>
      </w:r>
      <w:r>
        <w:rPr>
          <w:rFonts w:ascii="Arial" w:cs="Arial" w:eastAsia="Arial" w:hAnsi="Arial"/>
          <w:sz w:val="18"/>
          <w:szCs w:val="18"/>
          <w:u w:val="single" w:color="auto"/>
          <w:color w:val="auto"/>
        </w:rPr>
        <w:t>ir.exlservice.com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121"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 xml:space="preserve">ExlService Holdings, Inc. (Nasdaq:EXLS) is a leading provider of outsourcing and transformation services. EXL primarily serves the needs of Global 1000 companies from global delivery centers in the insurance, healthcare, utilities, banking and financial services, transportation and logistics and travel sectors. EXL’s outsourcing services include a full spectrum of business process management services such as transaction processing and finance and accounting services. Transformation services enable continuous improvement of client processes by bringing together EXL’s capabilities in decision analytics, finance transformation and operations and process excellence services. Find additional information about EXL at </w:t>
      </w:r>
      <w:r>
        <w:rPr>
          <w:rFonts w:ascii="Arial" w:cs="Arial" w:eastAsia="Arial" w:hAnsi="Arial"/>
          <w:sz w:val="16"/>
          <w:szCs w:val="16"/>
          <w:u w:val="single" w:color="auto"/>
          <w:color w:val="auto"/>
        </w:rPr>
        <w:t>www.exlservice.com</w:t>
      </w:r>
      <w:r>
        <w:rPr>
          <w:rFonts w:ascii="Arial" w:cs="Arial" w:eastAsia="Arial" w:hAnsi="Arial"/>
          <w:sz w:val="16"/>
          <w:szCs w:val="16"/>
          <w:color w:val="auto"/>
        </w:rPr>
        <w:t>.</w:t>
      </w:r>
    </w:p>
    <w:p>
      <w:pPr>
        <w:spacing w:after="0" w:line="15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This press release contains forward-looking statements. You should not place undue reliance on those statements because they are subject to numerous uncertainties and factors relating to the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are discussed in more detail in EXL’s filings with the Securities and Exchange Commission, including EXL’s Annual Report on Form 10-K for the year ended December 31, 2013.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federal securities laws.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122,457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122,315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363,992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354,329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84,983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72,049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241,164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218,892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37,474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50,266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122,828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135,437</w:t>
            </w:r>
          </w:p>
        </w:tc>
        <w:tc>
          <w:tcPr>
            <w:tcW w:w="0" w:type="dxa"/>
            <w:vAlign w:val="bottom"/>
          </w:tcPr>
          <w:p>
            <w:pPr>
              <w:spacing w:after="0"/>
              <w:rPr>
                <w:sz w:val="1"/>
                <w:szCs w:val="1"/>
                <w:color w:val="auto"/>
              </w:rPr>
            </w:pPr>
          </w:p>
        </w:tc>
      </w:tr>
      <w:tr>
        <w:trPr>
          <w:trHeight w:val="223"/>
        </w:trPr>
        <w:tc>
          <w:tcPr>
            <w:tcW w:w="55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7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15,952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15,791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46,992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Selling and marketing expenses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9,117</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8,993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28,812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5,969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18,843</w:t>
            </w: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7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32,083</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30,753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95,853</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90,992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19,513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26,975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Other income/(expense) :</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 income/(loss)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642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Interest and other income, net</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465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2,861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17,470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29,508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Income tax provision / (benefit)</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4,230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4,523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10,842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13,240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24,985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32,238</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Diluted</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0.18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0.39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0.74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w w:val="90"/>
              </w:rPr>
              <w:t>Weighted-average number of shares used in computing earnings per share:</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Basic</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w w:val="88"/>
              </w:rPr>
              <w:t>32,890,475</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32,907,281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32,743,384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32,737,267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33,676,665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33,955,445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33,594,304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33,859,525</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720" w:type="dxa"/>
            <w:vAlign w:val="bottom"/>
          </w:tcPr>
          <w:p>
            <w:pPr>
              <w:jc w:val="right"/>
              <w:ind w:right="39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8" w:name="page9"/>
    <w:bookmarkEnd w:id="8"/>
    <w:p>
      <w:pPr>
        <w:ind w:left="4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11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2014</w:t>
            </w:r>
          </w:p>
        </w:tc>
        <w:tc>
          <w:tcPr>
            <w:tcW w:w="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40" w:type="dxa"/>
            <w:vAlign w:val="bottom"/>
          </w:tcPr>
          <w:p>
            <w:pPr>
              <w:spacing w:after="0"/>
              <w:rPr>
                <w:sz w:val="12"/>
                <w:szCs w:val="12"/>
                <w:color w:val="auto"/>
              </w:rPr>
            </w:pPr>
          </w:p>
        </w:tc>
        <w:tc>
          <w:tcPr>
            <w:tcW w:w="8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161,428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6,561</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1,082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75,685</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76,121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4,126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Deferred tax assets, net</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4,691</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Advance income tax, net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7,817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11,694</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273,084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252,627</w:t>
            </w:r>
          </w:p>
        </w:tc>
        <w:tc>
          <w:tcPr>
            <w:tcW w:w="0" w:type="dxa"/>
            <w:vAlign w:val="bottom"/>
          </w:tcPr>
          <w:p>
            <w:pPr>
              <w:spacing w:after="0"/>
              <w:rPr>
                <w:sz w:val="1"/>
                <w:szCs w:val="1"/>
                <w:color w:val="auto"/>
              </w:rPr>
            </w:pPr>
          </w:p>
        </w:tc>
      </w:tr>
      <w:tr>
        <w:trPr>
          <w:trHeight w:val="223"/>
        </w:trPr>
        <w:tc>
          <w:tcPr>
            <w:tcW w:w="9060" w:type="dxa"/>
            <w:vAlign w:val="bottom"/>
            <w:gridSpan w:val="2"/>
          </w:tcPr>
          <w:p>
            <w:pPr>
              <w:spacing w:after="0"/>
              <w:rPr>
                <w:sz w:val="20"/>
                <w:szCs w:val="20"/>
                <w:color w:val="auto"/>
              </w:rPr>
            </w:pPr>
            <w:r>
              <w:rPr>
                <w:rFonts w:ascii="Arial" w:cs="Arial" w:eastAsia="Arial" w:hAnsi="Arial"/>
                <w:sz w:val="18"/>
                <w:szCs w:val="18"/>
                <w:color w:val="auto"/>
              </w:rPr>
              <w:t>Fixed assets, net</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45,307</w:t>
            </w: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3,263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11,017</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30,545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112,203</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107,407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23,139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18,897</w:t>
            </w:r>
          </w:p>
        </w:tc>
        <w:tc>
          <w:tcPr>
            <w:tcW w:w="0" w:type="dxa"/>
            <w:vAlign w:val="bottom"/>
          </w:tcPr>
          <w:p>
            <w:pPr>
              <w:spacing w:after="0"/>
              <w:rPr>
                <w:sz w:val="1"/>
                <w:szCs w:val="1"/>
                <w:color w:val="auto"/>
              </w:rPr>
            </w:pPr>
          </w:p>
        </w:tc>
      </w:tr>
      <w:tr>
        <w:trPr>
          <w:trHeight w:val="223"/>
        </w:trPr>
        <w:tc>
          <w:tcPr>
            <w:tcW w:w="90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498,558</w:t>
            </w: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463,432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3,343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8,039</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employee cost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28,044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33,615</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32,219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capital lease obligations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1,022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30"/>
        </w:trPr>
        <w:tc>
          <w:tcPr>
            <w:tcW w:w="906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74,063</w:t>
            </w:r>
          </w:p>
        </w:tc>
        <w:tc>
          <w:tcPr>
            <w:tcW w:w="5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850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14,530</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89,443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97,258</w:t>
            </w:r>
          </w:p>
        </w:tc>
        <w:tc>
          <w:tcPr>
            <w:tcW w:w="0" w:type="dxa"/>
            <w:vAlign w:val="bottom"/>
          </w:tcPr>
          <w:p>
            <w:pPr>
              <w:spacing w:after="0"/>
              <w:rPr>
                <w:sz w:val="1"/>
                <w:szCs w:val="1"/>
                <w:color w:val="auto"/>
              </w:rPr>
            </w:pPr>
          </w:p>
        </w:tc>
      </w:tr>
      <w:tr>
        <w:trPr>
          <w:trHeight w:val="223"/>
        </w:trPr>
        <w:tc>
          <w:tcPr>
            <w:tcW w:w="906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$0.001 par value; 15,000,000 shares authorized, none issued</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3"/>
              </w:rPr>
              <w:t>Common stock, $0.001 par value; 100,000,000 shares authorized, 34,122,806 shares issued and 32,777,971 shares</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6"/>
              </w:rPr>
              <w:t>outstanding as of September 30, 2014 and 33,342,312 shares issued and 32,172,183 shares outstanding as of</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December 31, 2013</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Additional paid-in-capital</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228,009</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214,522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261,964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236,979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9"/>
                <w:szCs w:val="19"/>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(52,928)</w:t>
            </w: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(60,718)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including shares held in treasury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437,079</w:t>
            </w:r>
          </w:p>
        </w:tc>
        <w:tc>
          <w:tcPr>
            <w:tcW w:w="5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390,816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60" w:type="dxa"/>
            <w:vAlign w:val="bottom"/>
            <w:gridSpan w:val="2"/>
          </w:tcPr>
          <w:p>
            <w:pPr>
              <w:spacing w:after="0"/>
              <w:rPr>
                <w:sz w:val="20"/>
                <w:szCs w:val="20"/>
                <w:color w:val="auto"/>
              </w:rPr>
            </w:pPr>
            <w:r>
              <w:rPr>
                <w:rFonts w:ascii="Arial" w:cs="Arial" w:eastAsia="Arial" w:hAnsi="Arial"/>
                <w:sz w:val="18"/>
                <w:szCs w:val="18"/>
                <w:color w:val="auto"/>
                <w:w w:val="95"/>
              </w:rPr>
              <w:t>Less: 1,297,885 shares as of September 30, 2014 and 1,170,129 shares as of December 31, 2013, held in treasury, at</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40" w:type="dxa"/>
            <w:vAlign w:val="bottom"/>
          </w:tcPr>
          <w:p>
            <w:pPr>
              <w:ind w:left="160"/>
              <w:spacing w:after="0"/>
              <w:rPr>
                <w:sz w:val="20"/>
                <w:szCs w:val="20"/>
                <w:color w:val="auto"/>
              </w:rPr>
            </w:pPr>
            <w:r>
              <w:rPr>
                <w:rFonts w:ascii="Arial" w:cs="Arial" w:eastAsia="Arial" w:hAnsi="Arial"/>
                <w:sz w:val="18"/>
                <w:szCs w:val="18"/>
                <w:color w:val="auto"/>
              </w:rPr>
              <w:t>cost</w:t>
            </w:r>
          </w:p>
        </w:tc>
        <w:tc>
          <w:tcPr>
            <w:tcW w:w="180" w:type="dxa"/>
            <w:vAlign w:val="bottom"/>
          </w:tcPr>
          <w:p>
            <w:pPr>
              <w:spacing w:after="0"/>
              <w:rPr>
                <w:sz w:val="20"/>
                <w:szCs w:val="20"/>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(27,964)</w:t>
            </w:r>
          </w:p>
        </w:tc>
        <w:tc>
          <w:tcPr>
            <w:tcW w:w="16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(24,642)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409,115</w:t>
            </w:r>
          </w:p>
        </w:tc>
        <w:tc>
          <w:tcPr>
            <w:tcW w:w="5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366,174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6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498,558</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463,432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60" w:type="dxa"/>
            <w:vAlign w:val="bottom"/>
            <w:gridSpan w:val="2"/>
            <w:vMerge w:val="restart"/>
          </w:tcPr>
          <w:p>
            <w:pPr>
              <w:ind w:left="5660"/>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0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Financial Measures to GAAP Measures</w:t>
      </w:r>
    </w:p>
    <w:p>
      <w:pPr>
        <w:spacing w:after="0" w:line="229"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In addition to its reported operating results in accordance with U.S. generally accepted accounting principles (GAAP), EXL has included in this release adjusted financial measures (adjusted EBITDA, adjusted net income and adjusted diluted earnings per share) that the Securities and Exchange Commission defines as “non-GAAP financial measures.” The adjusted financial measures disclosed by the EXL should not be considered a substitute for, or superior to, financial measures calculated in accordance with GAAP, and the financial results calculated in accordance with GAAP and reconciliations from those financial statements should be carefully evaluated. EXL believes that providing these adjusted measures may help investors better understand EXL’s underlying financial performance. Management also believes that these adjusted financial measures, when read in conjunction with EXL’s reported results, can provide useful supplemental information for investors analyzing period to period comparisons of the Company’s results and comparisons of EXL’s results with the results of other companies. EXL believes that it is unreasonably difficult to provide its financial outlook in accordance with GAAP for a number of reasons including, without limitation, EXL’s inability to predict its future stock-based compensation expense under ASC Topic 718, the amortization of intangibles associated with further acquisitions, and the uncertainty around the reimbursement of transition and disentanglement costs for a disclosed client issue. EXL also incurs significant non-cash charges for depreciation that may not be indicative of EXL’s ability to generate cash flow.</w:t>
      </w:r>
    </w:p>
    <w:p>
      <w:pPr>
        <w:spacing w:after="0" w:line="173"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Additionally, EXL provides certain information on a constant currency basis, which reflects a comparison of current period results translated at the prior period currency rates. This information is provided because EXL believes that it provides useful incremental information to investors regarding EXL’s operating performance.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reconciliation of these adjusted financial measures from GAAP measures for the quarter ended September 30, 2014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2013 and for the three months ended June 30, 2014:</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Operating Income and Adjusted EBITDA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3"/>
              </w:rPr>
              <w:t>Sep 30,</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 (GAAP)</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122,457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122,315</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119,738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40"/>
              <w:spacing w:after="0"/>
              <w:rPr>
                <w:sz w:val="20"/>
                <w:szCs w:val="20"/>
                <w:color w:val="auto"/>
              </w:rPr>
            </w:pPr>
            <w:r>
              <w:rPr>
                <w:rFonts w:ascii="Arial" w:cs="Arial" w:eastAsia="Arial" w:hAnsi="Arial"/>
                <w:sz w:val="18"/>
                <w:szCs w:val="18"/>
                <w:color w:val="auto"/>
              </w:rPr>
              <w:t>add: Reimbursement of transition and disentanglement costs (a)</w:t>
            </w:r>
          </w:p>
        </w:tc>
        <w:tc>
          <w:tcPr>
            <w:tcW w:w="100" w:type="dxa"/>
            <w:vAlign w:val="bottom"/>
          </w:tcPr>
          <w:p>
            <w:pPr>
              <w:spacing w:after="0"/>
              <w:rPr>
                <w:sz w:val="18"/>
                <w:szCs w:val="18"/>
                <w:color w:val="auto"/>
              </w:rPr>
            </w:pPr>
          </w:p>
        </w:tc>
        <w:tc>
          <w:tcPr>
            <w:tcW w:w="1100" w:type="dxa"/>
            <w:vAlign w:val="bottom"/>
            <w:gridSpan w:val="2"/>
          </w:tcPr>
          <w:p>
            <w:pPr>
              <w:jc w:val="right"/>
              <w:ind w:right="448"/>
              <w:spacing w:after="0"/>
              <w:rPr>
                <w:sz w:val="20"/>
                <w:szCs w:val="20"/>
                <w:color w:val="auto"/>
              </w:rPr>
            </w:pPr>
            <w:r>
              <w:rPr>
                <w:rFonts w:ascii="Arial" w:cs="Arial" w:eastAsia="Arial" w:hAnsi="Arial"/>
                <w:sz w:val="18"/>
                <w:szCs w:val="18"/>
                <w:color w:val="auto"/>
              </w:rPr>
              <w:t>9,626</w:t>
            </w: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5,718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 (Non-GAAP)</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b w:val="1"/>
                <w:bCs w:val="1"/>
                <w:color w:val="auto"/>
                <w:w w:val="86"/>
              </w:rPr>
              <w:t>132,083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w w:val="86"/>
              </w:rPr>
              <w:t>122,315</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125,456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40"/>
              <w:spacing w:after="0"/>
              <w:rPr>
                <w:sz w:val="20"/>
                <w:szCs w:val="20"/>
                <w:color w:val="auto"/>
              </w:rPr>
            </w:pPr>
            <w:r>
              <w:rPr>
                <w:rFonts w:ascii="Arial" w:cs="Arial" w:eastAsia="Arial" w:hAnsi="Arial"/>
                <w:sz w:val="18"/>
                <w:szCs w:val="18"/>
                <w:color w:val="auto"/>
              </w:rPr>
              <w:t>subtract: Cost of revenues (GAAP)</w:t>
            </w:r>
          </w:p>
        </w:tc>
        <w:tc>
          <w:tcPr>
            <w:tcW w:w="100" w:type="dxa"/>
            <w:vAlign w:val="bottom"/>
          </w:tcPr>
          <w:p>
            <w:pPr>
              <w:spacing w:after="0"/>
              <w:rPr>
                <w:sz w:val="18"/>
                <w:szCs w:val="18"/>
                <w:color w:val="auto"/>
              </w:rPr>
            </w:pPr>
          </w:p>
        </w:tc>
        <w:tc>
          <w:tcPr>
            <w:tcW w:w="1100" w:type="dxa"/>
            <w:vAlign w:val="bottom"/>
            <w:gridSpan w:val="2"/>
          </w:tcPr>
          <w:p>
            <w:pPr>
              <w:jc w:val="right"/>
              <w:ind w:right="388"/>
              <w:spacing w:after="0"/>
              <w:rPr>
                <w:sz w:val="20"/>
                <w:szCs w:val="20"/>
                <w:color w:val="auto"/>
              </w:rPr>
            </w:pPr>
            <w:r>
              <w:rPr>
                <w:rFonts w:ascii="Arial" w:cs="Arial" w:eastAsia="Arial" w:hAnsi="Arial"/>
                <w:sz w:val="18"/>
                <w:szCs w:val="18"/>
                <w:color w:val="auto"/>
                <w:w w:val="92"/>
              </w:rPr>
              <w:t>(84,983)</w:t>
            </w: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2"/>
              </w:rPr>
              <w:t>(72,049)</w:t>
            </w:r>
          </w:p>
        </w:tc>
        <w:tc>
          <w:tcPr>
            <w:tcW w:w="2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(81,259)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subtract: Operating expenses (GAAP)</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w w:val="92"/>
              </w:rPr>
              <w:t>(32,083)</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2"/>
              </w:rPr>
              <w:t>(30,753)</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(32,382)</w:t>
            </w:r>
          </w:p>
        </w:tc>
        <w:tc>
          <w:tcPr>
            <w:tcW w:w="0" w:type="dxa"/>
            <w:vAlign w:val="bottom"/>
          </w:tcPr>
          <w:p>
            <w:pPr>
              <w:spacing w:after="0"/>
              <w:rPr>
                <w:sz w:val="1"/>
                <w:szCs w:val="1"/>
                <w:color w:val="auto"/>
              </w:rPr>
            </w:pPr>
          </w:p>
        </w:tc>
      </w:tr>
      <w:tr>
        <w:trPr>
          <w:trHeight w:val="223"/>
        </w:trPr>
        <w:tc>
          <w:tcPr>
            <w:tcW w:w="7600" w:type="dxa"/>
            <w:vAlign w:val="bottom"/>
            <w:gridSpan w:val="2"/>
          </w:tcPr>
          <w:p>
            <w:pPr>
              <w:spacing w:after="0"/>
              <w:rPr>
                <w:sz w:val="20"/>
                <w:szCs w:val="20"/>
                <w:color w:val="auto"/>
              </w:rPr>
            </w:pPr>
            <w:r>
              <w:rPr>
                <w:rFonts w:ascii="Arial" w:cs="Arial" w:eastAsia="Arial" w:hAnsi="Arial"/>
                <w:sz w:val="18"/>
                <w:szCs w:val="18"/>
                <w:b w:val="1"/>
                <w:bCs w:val="1"/>
                <w:color w:val="auto"/>
              </w:rPr>
              <w:t>Income from operations (Non- GAAP)</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15,017</w:t>
            </w:r>
          </w:p>
        </w:tc>
        <w:tc>
          <w:tcPr>
            <w:tcW w:w="5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19,513</w:t>
            </w:r>
          </w:p>
        </w:tc>
        <w:tc>
          <w:tcPr>
            <w:tcW w:w="520" w:type="dxa"/>
            <w:vAlign w:val="bottom"/>
          </w:tcPr>
          <w:p>
            <w:pPr>
              <w:spacing w:after="0"/>
              <w:rPr>
                <w:sz w:val="19"/>
                <w:szCs w:val="19"/>
                <w:color w:val="auto"/>
              </w:rPr>
            </w:pPr>
          </w:p>
        </w:tc>
        <w:tc>
          <w:tcPr>
            <w:tcW w:w="2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11,815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 Stock-based compensation expense (b)</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2,376</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2,967</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40"/>
              <w:spacing w:after="0"/>
              <w:rPr>
                <w:sz w:val="20"/>
                <w:szCs w:val="20"/>
                <w:color w:val="auto"/>
              </w:rPr>
            </w:pPr>
            <w:r>
              <w:rPr>
                <w:rFonts w:ascii="Arial" w:cs="Arial" w:eastAsia="Arial" w:hAnsi="Arial"/>
                <w:sz w:val="18"/>
                <w:szCs w:val="18"/>
                <w:color w:val="auto"/>
              </w:rPr>
              <w:t>add: Amortization of acquisition-related intangibles (c)</w:t>
            </w:r>
          </w:p>
        </w:tc>
        <w:tc>
          <w:tcPr>
            <w:tcW w:w="100" w:type="dxa"/>
            <w:vAlign w:val="bottom"/>
          </w:tcPr>
          <w:p>
            <w:pPr>
              <w:spacing w:after="0"/>
              <w:rPr>
                <w:sz w:val="18"/>
                <w:szCs w:val="18"/>
                <w:color w:val="auto"/>
              </w:rPr>
            </w:pPr>
          </w:p>
        </w:tc>
        <w:tc>
          <w:tcPr>
            <w:tcW w:w="1100" w:type="dxa"/>
            <w:vAlign w:val="bottom"/>
            <w:gridSpan w:val="2"/>
          </w:tcPr>
          <w:p>
            <w:pPr>
              <w:jc w:val="right"/>
              <w:ind w:right="448"/>
              <w:spacing w:after="0"/>
              <w:rPr>
                <w:sz w:val="20"/>
                <w:szCs w:val="20"/>
                <w:color w:val="auto"/>
              </w:rPr>
            </w:pPr>
            <w:r>
              <w:rPr>
                <w:rFonts w:ascii="Arial" w:cs="Arial" w:eastAsia="Arial" w:hAnsi="Arial"/>
                <w:sz w:val="18"/>
                <w:szCs w:val="18"/>
                <w:color w:val="auto"/>
              </w:rPr>
              <w:t>1,441</w:t>
            </w: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1,534</w:t>
            </w:r>
          </w:p>
        </w:tc>
        <w:tc>
          <w:tcPr>
            <w:tcW w:w="2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operating income (Non-GAAP)</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b w:val="1"/>
                <w:bCs w:val="1"/>
                <w:color w:val="auto"/>
              </w:rPr>
              <w:t>18,834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24,014</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15,271</w:t>
            </w: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Adjusted operating income margin as a % of Revenues (Non-GAAP)</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i w:val="1"/>
                <w:iCs w:val="1"/>
                <w:color w:val="auto"/>
              </w:rPr>
              <w:t>14.3%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i w:val="1"/>
                <w:iCs w:val="1"/>
                <w:color w:val="auto"/>
              </w:rPr>
              <w:t>19.6%</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12.2%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 Depreciation</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5,573</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4,435</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5,190</w:t>
            </w:r>
          </w:p>
        </w:tc>
        <w:tc>
          <w:tcPr>
            <w:tcW w:w="0" w:type="dxa"/>
            <w:vAlign w:val="bottom"/>
          </w:tcPr>
          <w:p>
            <w:pPr>
              <w:spacing w:after="0"/>
              <w:rPr>
                <w:sz w:val="1"/>
                <w:szCs w:val="1"/>
                <w:color w:val="auto"/>
              </w:rPr>
            </w:pPr>
          </w:p>
        </w:tc>
      </w:tr>
      <w:tr>
        <w:trPr>
          <w:trHeight w:val="223"/>
        </w:trPr>
        <w:tc>
          <w:tcPr>
            <w:tcW w:w="7600" w:type="dxa"/>
            <w:vAlign w:val="bottom"/>
            <w:gridSpan w:val="2"/>
          </w:tcPr>
          <w:p>
            <w:pPr>
              <w:spacing w:after="0"/>
              <w:rPr>
                <w:sz w:val="20"/>
                <w:szCs w:val="20"/>
                <w:color w:val="auto"/>
              </w:rPr>
            </w:pPr>
            <w:r>
              <w:rPr>
                <w:rFonts w:ascii="Arial" w:cs="Arial" w:eastAsia="Arial" w:hAnsi="Arial"/>
                <w:sz w:val="18"/>
                <w:szCs w:val="18"/>
                <w:b w:val="1"/>
                <w:bCs w:val="1"/>
                <w:color w:val="auto"/>
              </w:rPr>
              <w:t>Adjusted EBITDA (Non-GAAP)</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24,407</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28,449</w:t>
            </w:r>
          </w:p>
        </w:tc>
        <w:tc>
          <w:tcPr>
            <w:tcW w:w="5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Adjusted EBITDA margin as a % of Revenues (Non-GAAP)</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i w:val="1"/>
                <w:iCs w:val="1"/>
                <w:color w:val="auto"/>
              </w:rPr>
              <w:t>18.5%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i w:val="1"/>
                <w:iCs w:val="1"/>
                <w:color w:val="auto"/>
              </w:rPr>
              <w:t>23.3%</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16.3%</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To exclude reimbursement of transition and disentanglement costs for a disclosed client issue.</w:t>
      </w:r>
    </w:p>
    <w:p>
      <w:pPr>
        <w:spacing w:after="0" w:line="2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w:t>
        <w:tab/>
        <w:t>To exclude stock-based compensation expense under ASC Topic 718.</w:t>
      </w:r>
    </w:p>
    <w:p>
      <w:pPr>
        <w:spacing w:after="0" w:line="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w:t>
        <w:tab/>
        <w:t>To exclude amortization of acquisition-related intangibles.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 of Adjusted Net Income and Adjusted Diluted Earnings Per Share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6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3"/>
              </w:rPr>
              <w:t>Sep 30,</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692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2014</w:t>
            </w:r>
          </w:p>
        </w:tc>
        <w:tc>
          <w:tcPr>
            <w:tcW w:w="5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(GAAP)</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6,075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13,240</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7,762</w:t>
            </w:r>
          </w:p>
        </w:tc>
        <w:tc>
          <w:tcPr>
            <w:tcW w:w="100" w:type="dxa"/>
            <w:vAlign w:val="bottom"/>
            <w:shd w:val="clear" w:color="auto" w:fill="CCEEFF"/>
          </w:tcPr>
          <w:p>
            <w:pPr>
              <w:spacing w:after="0"/>
              <w:rPr>
                <w:sz w:val="18"/>
                <w:szCs w:val="18"/>
                <w:color w:val="auto"/>
              </w:rPr>
            </w:pPr>
          </w:p>
        </w:tc>
      </w:tr>
      <w:tr>
        <w:trPr>
          <w:trHeight w:val="216"/>
        </w:trPr>
        <w:tc>
          <w:tcPr>
            <w:tcW w:w="6920" w:type="dxa"/>
            <w:vAlign w:val="bottom"/>
          </w:tcPr>
          <w:p>
            <w:pPr>
              <w:ind w:left="360"/>
              <w:spacing w:after="0"/>
              <w:rPr>
                <w:sz w:val="20"/>
                <w:szCs w:val="20"/>
                <w:color w:val="auto"/>
              </w:rPr>
            </w:pPr>
            <w:r>
              <w:rPr>
                <w:rFonts w:ascii="Arial" w:cs="Arial" w:eastAsia="Arial" w:hAnsi="Arial"/>
                <w:sz w:val="18"/>
                <w:szCs w:val="18"/>
                <w:color w:val="auto"/>
              </w:rPr>
              <w:t>add: Stock-based compensation expense (a)</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28"/>
              <w:spacing w:after="0"/>
              <w:rPr>
                <w:sz w:val="20"/>
                <w:szCs w:val="20"/>
                <w:color w:val="auto"/>
              </w:rPr>
            </w:pPr>
            <w:r>
              <w:rPr>
                <w:rFonts w:ascii="Arial" w:cs="Arial" w:eastAsia="Arial" w:hAnsi="Arial"/>
                <w:sz w:val="18"/>
                <w:szCs w:val="18"/>
                <w:color w:val="auto"/>
              </w:rPr>
              <w:t>2,376</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2,967</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1,967</w:t>
            </w:r>
          </w:p>
        </w:tc>
      </w:tr>
      <w:tr>
        <w:trPr>
          <w:trHeight w:val="216"/>
        </w:trPr>
        <w:tc>
          <w:tcPr>
            <w:tcW w:w="6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 Amortization of acquisition-related intangibles (b)</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1,441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1,489</w:t>
            </w:r>
          </w:p>
        </w:tc>
      </w:tr>
      <w:tr>
        <w:trPr>
          <w:trHeight w:val="216"/>
        </w:trPr>
        <w:tc>
          <w:tcPr>
            <w:tcW w:w="6920" w:type="dxa"/>
            <w:vAlign w:val="bottom"/>
          </w:tcPr>
          <w:p>
            <w:pPr>
              <w:ind w:left="360"/>
              <w:spacing w:after="0"/>
              <w:rPr>
                <w:sz w:val="20"/>
                <w:szCs w:val="20"/>
                <w:color w:val="auto"/>
              </w:rPr>
            </w:pPr>
            <w:r>
              <w:rPr>
                <w:rFonts w:ascii="Arial" w:cs="Arial" w:eastAsia="Arial" w:hAnsi="Arial"/>
                <w:sz w:val="18"/>
                <w:szCs w:val="18"/>
                <w:color w:val="auto"/>
              </w:rPr>
              <w:t>add: reimbursement of transition and disentanglement costs (c)</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28"/>
              <w:spacing w:after="0"/>
              <w:rPr>
                <w:sz w:val="20"/>
                <w:szCs w:val="20"/>
                <w:color w:val="auto"/>
              </w:rPr>
            </w:pPr>
            <w:r>
              <w:rPr>
                <w:rFonts w:ascii="Arial" w:cs="Arial" w:eastAsia="Arial" w:hAnsi="Arial"/>
                <w:sz w:val="18"/>
                <w:szCs w:val="18"/>
                <w:color w:val="auto"/>
              </w:rPr>
              <w:t>9,626</w:t>
            </w:r>
          </w:p>
        </w:tc>
        <w:tc>
          <w:tcPr>
            <w:tcW w:w="10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5,718</w:t>
            </w:r>
          </w:p>
        </w:tc>
      </w:tr>
      <w:tr>
        <w:trPr>
          <w:trHeight w:val="216"/>
        </w:trPr>
        <w:tc>
          <w:tcPr>
            <w:tcW w:w="6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subtract: Tax impact on stock-based compensation expense</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(907)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(1,131)</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(751)</w:t>
            </w:r>
          </w:p>
        </w:tc>
      </w:tr>
      <w:tr>
        <w:trPr>
          <w:trHeight w:val="216"/>
        </w:trPr>
        <w:tc>
          <w:tcPr>
            <w:tcW w:w="6920" w:type="dxa"/>
            <w:vAlign w:val="bottom"/>
          </w:tcPr>
          <w:p>
            <w:pPr>
              <w:ind w:left="360"/>
              <w:spacing w:after="0"/>
              <w:rPr>
                <w:sz w:val="20"/>
                <w:szCs w:val="20"/>
                <w:color w:val="auto"/>
              </w:rPr>
            </w:pPr>
            <w:r>
              <w:rPr>
                <w:rFonts w:ascii="Arial" w:cs="Arial" w:eastAsia="Arial" w:hAnsi="Arial"/>
                <w:sz w:val="18"/>
                <w:szCs w:val="18"/>
                <w:color w:val="auto"/>
              </w:rPr>
              <w:t>subtract: Tax impact on amortization of acquisition-related intangibles</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68"/>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(170)</w:t>
            </w:r>
          </w:p>
        </w:tc>
        <w:tc>
          <w:tcPr>
            <w:tcW w:w="2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(170)</w:t>
            </w:r>
          </w:p>
        </w:tc>
      </w:tr>
      <w:tr>
        <w:trPr>
          <w:trHeight w:val="216"/>
        </w:trPr>
        <w:tc>
          <w:tcPr>
            <w:tcW w:w="6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subtract: Tax impact on reimbursement of transition and disentanglement costs</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w w:val="94"/>
              </w:rPr>
              <w:t>(3,658)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(2,173)</w:t>
            </w:r>
          </w:p>
        </w:tc>
      </w:tr>
      <w:tr>
        <w:trPr>
          <w:trHeight w:val="223"/>
        </w:trPr>
        <w:tc>
          <w:tcPr>
            <w:tcW w:w="6920" w:type="dxa"/>
            <w:vAlign w:val="bottom"/>
          </w:tcPr>
          <w:p>
            <w:pPr>
              <w:spacing w:after="0"/>
              <w:rPr>
                <w:sz w:val="20"/>
                <w:szCs w:val="20"/>
                <w:color w:val="auto"/>
              </w:rPr>
            </w:pPr>
            <w:r>
              <w:rPr>
                <w:rFonts w:ascii="Arial" w:cs="Arial" w:eastAsia="Arial" w:hAnsi="Arial"/>
                <w:sz w:val="18"/>
                <w:szCs w:val="18"/>
                <w:b w:val="1"/>
                <w:bCs w:val="1"/>
                <w:color w:val="auto"/>
              </w:rPr>
              <w:t>Adjusted net income (Non-GAAP)</w:t>
            </w:r>
          </w:p>
        </w:tc>
        <w:tc>
          <w:tcPr>
            <w:tcW w:w="9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14,762</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16,440</w:t>
            </w:r>
          </w:p>
        </w:tc>
        <w:tc>
          <w:tcPr>
            <w:tcW w:w="5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13,842</w:t>
            </w:r>
          </w:p>
        </w:tc>
        <w:tc>
          <w:tcPr>
            <w:tcW w:w="100" w:type="dxa"/>
            <w:vAlign w:val="bottom"/>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diluted earnings per share (Non-GAAP)</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b w:val="1"/>
                <w:bCs w:val="1"/>
                <w:color w:val="auto"/>
              </w:rPr>
              <w:t>0.44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0.48</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0.41</w:t>
            </w:r>
          </w:p>
        </w:tc>
      </w:tr>
    </w:tbl>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To exclude stock-based compensation expense under ASC Topic 718.</w:t>
      </w:r>
    </w:p>
    <w:p>
      <w:pPr>
        <w:spacing w:after="0" w:line="2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w:t>
        <w:tab/>
        <w:t>To exclude amortization of acquisition-related intangibles.</w:t>
      </w:r>
    </w:p>
    <w:p>
      <w:pPr>
        <w:spacing w:after="0" w:line="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w:t>
        <w:tab/>
        <w:t>To exclude reimbursement of transition and disentanglement costs for a disclosed client issue.</w:t>
      </w:r>
    </w:p>
    <w:p>
      <w:pPr>
        <w:spacing w:after="0" w:line="14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212"/>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2019-12-07T07:51:58Z</dcterms:created>
  <dcterms:modified xsi:type="dcterms:W3CDTF">2019-12-07T07:51:58Z</dcterms:modified>
</cp:coreProperties>
</file>