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788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7886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 Villa Rembert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02/08/2013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03"/>
        <w:spacing w:after="0"/>
        <w:rPr>
          <w:sz w:val="20"/>
          <w:szCs w:val="20"/>
          <w:color w:val="auto"/>
        </w:rPr>
      </w:pPr>
      <w:r>
        <w:rPr>
          <w:rFonts w:ascii="Arial" w:cs="Arial" w:eastAsia="Arial" w:hAnsi="Arial"/>
          <w:sz w:val="18"/>
          <w:szCs w:val="18"/>
          <w:color w:val="0000FF"/>
        </w:rPr>
        <w:t>EVP, Head of Ins. &amp; CSO.</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82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82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7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60" w:type="dxa"/>
            <w:vAlign w:val="bottom"/>
            <w:gridSpan w:val="3"/>
          </w:tcPr>
          <w:p>
            <w:pPr>
              <w:ind w:left="520"/>
              <w:spacing w:after="0"/>
              <w:rPr>
                <w:sz w:val="20"/>
                <w:szCs w:val="20"/>
                <w:color w:val="auto"/>
              </w:rPr>
            </w:pPr>
            <w:r>
              <w:rPr>
                <w:rFonts w:ascii="Arial" w:cs="Arial" w:eastAsia="Arial" w:hAnsi="Arial"/>
                <w:sz w:val="18"/>
                <w:szCs w:val="18"/>
                <w:color w:val="0000FF"/>
              </w:rPr>
              <w:t>8,194</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100" w:type="dxa"/>
            <w:vAlign w:val="bottom"/>
            <w:tcBorders>
              <w:bottom w:val="single" w:sz="8" w:color="2C2C2C"/>
            </w:tcBorders>
            <w:gridSpan w:val="6"/>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ind w:left="14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1,690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2"/>
              <w:spacing w:after="0" w:line="149" w:lineRule="exact"/>
              <w:rPr>
                <w:sz w:val="20"/>
                <w:szCs w:val="20"/>
                <w:color w:val="auto"/>
              </w:rPr>
            </w:pPr>
            <w:r>
              <w:rPr>
                <w:rFonts w:ascii="Arial" w:cs="Arial" w:eastAsia="Arial" w:hAnsi="Arial"/>
                <w:sz w:val="14"/>
                <w:szCs w:val="14"/>
                <w:color w:val="0000FF"/>
              </w:rPr>
              <w:t>02/08/2013</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80" w:type="dxa"/>
            <w:vAlign w:val="bottom"/>
            <w:vMerge w:val="restart"/>
          </w:tcPr>
          <w:p>
            <w:pPr>
              <w:ind w:left="180"/>
              <w:spacing w:after="0" w:line="149" w:lineRule="exact"/>
              <w:rPr>
                <w:sz w:val="20"/>
                <w:szCs w:val="20"/>
                <w:color w:val="auto"/>
              </w:rPr>
            </w:pPr>
            <w:r>
              <w:rPr>
                <w:rFonts w:ascii="Arial" w:cs="Arial" w:eastAsia="Arial" w:hAnsi="Arial"/>
                <w:sz w:val="14"/>
                <w:szCs w:val="14"/>
                <w:color w:val="0000FF"/>
              </w:rPr>
              <w:t>1,690</w:t>
            </w: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40" w:type="dxa"/>
            <w:vAlign w:val="bottom"/>
            <w:gridSpan w:val="2"/>
            <w:vMerge w:val="restart"/>
          </w:tcPr>
          <w:p>
            <w:pPr>
              <w:ind w:left="40"/>
              <w:spacing w:after="0" w:line="149" w:lineRule="exact"/>
              <w:rPr>
                <w:sz w:val="20"/>
                <w:szCs w:val="20"/>
                <w:color w:val="auto"/>
              </w:rPr>
            </w:pPr>
            <w:r>
              <w:rPr>
                <w:rFonts w:ascii="Arial" w:cs="Arial" w:eastAsia="Arial" w:hAnsi="Arial"/>
                <w:sz w:val="14"/>
                <w:szCs w:val="14"/>
                <w:color w:val="0000FF"/>
                <w:w w:val="96"/>
              </w:rPr>
              <w:t>02/08/2023</w:t>
            </w:r>
          </w:p>
        </w:tc>
        <w:tc>
          <w:tcPr>
            <w:tcW w:w="68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80"/>
              <w:spacing w:after="0" w:line="149" w:lineRule="exact"/>
              <w:rPr>
                <w:sz w:val="20"/>
                <w:szCs w:val="20"/>
                <w:color w:val="auto"/>
              </w:rPr>
            </w:pPr>
            <w:r>
              <w:rPr>
                <w:rFonts w:ascii="Arial" w:cs="Arial" w:eastAsia="Arial" w:hAnsi="Arial"/>
                <w:sz w:val="14"/>
                <w:szCs w:val="14"/>
                <w:color w:val="0000FF"/>
                <w:w w:val="91"/>
              </w:rPr>
              <w:t>1,690</w:t>
            </w:r>
          </w:p>
        </w:tc>
        <w:tc>
          <w:tcPr>
            <w:tcW w:w="30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restart"/>
          </w:tcPr>
          <w:p>
            <w:pPr>
              <w:ind w:left="12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ind w:left="14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9,000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2"/>
              <w:spacing w:after="0" w:line="149" w:lineRule="exact"/>
              <w:rPr>
                <w:sz w:val="20"/>
                <w:szCs w:val="20"/>
                <w:color w:val="auto"/>
              </w:rPr>
            </w:pPr>
            <w:r>
              <w:rPr>
                <w:rFonts w:ascii="Arial" w:cs="Arial" w:eastAsia="Arial" w:hAnsi="Arial"/>
                <w:sz w:val="14"/>
                <w:szCs w:val="14"/>
                <w:color w:val="0000FF"/>
              </w:rPr>
              <w:t>02/08/2013</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80" w:type="dxa"/>
            <w:vAlign w:val="bottom"/>
            <w:vMerge w:val="restart"/>
          </w:tcPr>
          <w:p>
            <w:pPr>
              <w:ind w:left="180"/>
              <w:spacing w:after="0" w:line="149" w:lineRule="exact"/>
              <w:rPr>
                <w:sz w:val="20"/>
                <w:szCs w:val="20"/>
                <w:color w:val="auto"/>
              </w:rPr>
            </w:pPr>
            <w:r>
              <w:rPr>
                <w:rFonts w:ascii="Arial" w:cs="Arial" w:eastAsia="Arial" w:hAnsi="Arial"/>
                <w:sz w:val="14"/>
                <w:szCs w:val="14"/>
                <w:color w:val="0000FF"/>
              </w:rPr>
              <w:t>9,000</w:t>
            </w: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40" w:type="dxa"/>
            <w:vAlign w:val="bottom"/>
            <w:gridSpan w:val="2"/>
            <w:vMerge w:val="restart"/>
          </w:tcPr>
          <w:p>
            <w:pPr>
              <w:ind w:left="40"/>
              <w:spacing w:after="0" w:line="149" w:lineRule="exact"/>
              <w:rPr>
                <w:sz w:val="20"/>
                <w:szCs w:val="20"/>
                <w:color w:val="auto"/>
              </w:rPr>
            </w:pPr>
            <w:r>
              <w:rPr>
                <w:rFonts w:ascii="Arial" w:cs="Arial" w:eastAsia="Arial" w:hAnsi="Arial"/>
                <w:sz w:val="14"/>
                <w:szCs w:val="14"/>
                <w:color w:val="0000FF"/>
                <w:w w:val="96"/>
              </w:rPr>
              <w:t>02/08/2023</w:t>
            </w:r>
          </w:p>
        </w:tc>
        <w:tc>
          <w:tcPr>
            <w:tcW w:w="68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80"/>
              <w:spacing w:after="0" w:line="149" w:lineRule="exact"/>
              <w:rPr>
                <w:sz w:val="20"/>
                <w:szCs w:val="20"/>
                <w:color w:val="auto"/>
              </w:rPr>
            </w:pPr>
            <w:r>
              <w:rPr>
                <w:rFonts w:ascii="Arial" w:cs="Arial" w:eastAsia="Arial" w:hAnsi="Arial"/>
                <w:sz w:val="14"/>
                <w:szCs w:val="14"/>
                <w:color w:val="0000FF"/>
                <w:w w:val="91"/>
              </w:rPr>
              <w:t>9,000</w:t>
            </w:r>
          </w:p>
        </w:tc>
        <w:tc>
          <w:tcPr>
            <w:tcW w:w="30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restart"/>
          </w:tcPr>
          <w:p>
            <w:pPr>
              <w:ind w:left="120"/>
              <w:spacing w:after="0"/>
              <w:rPr>
                <w:sz w:val="20"/>
                <w:szCs w:val="20"/>
                <w:color w:val="auto"/>
              </w:rPr>
            </w:pPr>
            <w:r>
              <w:rPr>
                <w:rFonts w:ascii="Arial" w:cs="Arial" w:eastAsia="Arial" w:hAnsi="Arial"/>
                <w:sz w:val="14"/>
                <w:szCs w:val="14"/>
                <w:color w:val="0000FF"/>
              </w:rPr>
              <w:t>$0.001</w:t>
            </w: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10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will vest in three equal annual installments, beginning on February 8, 2014. Vesting of some or all of the restricted stock may be accelerated upon or in connection with the occurrence of a "Change in Control" as such term is defined in agreement governing the grant of the restricted stock.</w:t>
      </w:r>
    </w:p>
    <w:p>
      <w:pPr>
        <w:spacing w:after="0" w:line="30" w:lineRule="exact"/>
        <w:rPr>
          <w:rFonts w:ascii="Arial" w:cs="Arial" w:eastAsia="Arial" w:hAnsi="Arial"/>
          <w:sz w:val="14"/>
          <w:szCs w:val="14"/>
          <w:color w:val="008000"/>
        </w:rPr>
      </w:pPr>
    </w:p>
    <w:p>
      <w:pPr>
        <w:ind w:left="40" w:right="26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10 percent of restricted stock will vest on February 8, 2014; an additional 20 percent will vest on February 8, 2015; an additional 30 percent will vest on February 8, 2016; and the remaining 40 percent will vest on February 8, 2017. Vesting will be accelerated upon certain terminations of employment and upon a change in control (as defined in the ExlService Holdings, Inc. 2006 Omnibus Award Plan).</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02/12/2013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088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2019-12-16T14:38:09Z</dcterms:created>
  <dcterms:modified xsi:type="dcterms:W3CDTF">2019-12-16T14:38:09Z</dcterms:modified>
</cp:coreProperties>
</file>