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21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63"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 Anita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EXLSERVICE HOLDINGS INC</w:t>
            </w:r>
          </w:p>
        </w:tc>
        <w:tc>
          <w:tcPr>
            <w:tcW w:w="12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03/02/2024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EVP &amp; Chief Growth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03/02/2024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2,490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93,134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03/02/2024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1,274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31.75</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91,860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03/02/2024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5,460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97,320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03/02/2024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2,793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31.75</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94,527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03/02/2024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2,490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0"/>
              <w:spacing w:after="0" w:line="143" w:lineRule="exact"/>
              <w:rPr>
                <w:sz w:val="20"/>
                <w:szCs w:val="20"/>
                <w:color w:val="auto"/>
              </w:rPr>
            </w:pPr>
            <w:r>
              <w:rPr>
                <w:rFonts w:ascii="Times New Roman" w:cs="Times New Roman" w:eastAsia="Times New Roman" w:hAnsi="Times New Roman"/>
                <w:sz w:val="13"/>
                <w:szCs w:val="13"/>
                <w:color w:val="0000FF"/>
              </w:rPr>
              <w:t>5,460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5,460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03/02/2024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5,460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2020, the reporting person was granted 1,992 (pre-split) restricted stock units, vesting in four equal annual installments beginning on the first anniversary of the grant date. 25 percent of the restricted stock units became vested on March 2, 2021, an additional 25 percent of the restricted stock units became vested on March 2, 2022, an additional 25 percent of the restricted stock units became vested on March 2, 2023, and the remaining balance of 25 percent of the restricted stock units became vested on March 2, 2024</w:t>
      </w:r>
    </w:p>
    <w:p>
      <w:pPr>
        <w:spacing w:after="0" w:line="2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2020, the reporting person was granted 4,365 (pre-split) restricted stock units, vesting in four equal annual installments beginning on the first anniversary of the grant date. 25 percent of the restricted stock units became vested on March 2, 2021, an additional 25 percent of the restricted stock units became vested on March 2, 2022, an additional 25 percent of the restricted stock units became vested on March 2, 2023, and the remaining balance of 25 percent of the restricted stock units became vested on March 2,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 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2024-03-05T17:31:49Z</dcterms:created>
  <dcterms:modified xsi:type="dcterms:W3CDTF">2024-03-05T17:31:49Z</dcterms:modified>
</cp:coreProperties>
</file>