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829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829550"/>
                    </a:xfrm>
                    <a:prstGeom prst="rect">
                      <a:avLst/>
                    </a:prstGeom>
                    <a:noFill/>
                  </pic:spPr>
                </pic:pic>
              </a:graphicData>
            </a:graphic>
          </wp:anchor>
        </w:drawing>
      </w:r>
    </w:p>
    <w:p>
      <w:pPr>
        <w:spacing w:after="0" w:line="32" w:lineRule="exact"/>
        <w:rPr>
          <w:sz w:val="24"/>
          <w:szCs w:val="24"/>
          <w:color w:val="auto"/>
        </w:rPr>
      </w:pPr>
    </w:p>
    <w:p>
      <w:pPr>
        <w:sectPr>
          <w:pgSz w:w="11900" w:h="16853"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FINANCIAL TECHNOLOGY</w:t>
              </w:r>
            </w:hyperlink>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6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40" w:type="dxa"/>
            <w:vAlign w:val="bottom"/>
            <w:gridSpan w:val="7"/>
            <w:vMerge w:val="continue"/>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gridSpan w:val="2"/>
            <w:vMerge w:val="restart"/>
          </w:tcPr>
          <w:p>
            <w:pPr>
              <w:ind w:left="28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
                <w:szCs w:val="2"/>
                <w:color w:val="auto"/>
              </w:rPr>
            </w:pPr>
          </w:p>
        </w:tc>
        <w:tc>
          <w:tcPr>
            <w:tcW w:w="1580" w:type="dxa"/>
            <w:vAlign w:val="bottom"/>
            <w:gridSpan w:val="5"/>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40" w:type="dxa"/>
            <w:vAlign w:val="bottom"/>
            <w:gridSpan w:val="7"/>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tcBorders>
              <w:top w:val="single" w:sz="8" w:color="0000EE"/>
            </w:tcBorders>
            <w:gridSpan w:val="5"/>
            <w:vMerge w:val="restart"/>
          </w:tcPr>
          <w:p>
            <w:pPr>
              <w:spacing w:after="0" w:line="223" w:lineRule="exact"/>
              <w:rPr>
                <w:rFonts w:ascii="Arial" w:cs="Arial" w:eastAsia="Arial" w:hAnsi="Arial"/>
                <w:sz w:val="22"/>
                <w:szCs w:val="22"/>
                <w:color w:val="0000EE"/>
              </w:rPr>
            </w:pPr>
            <w:hyperlink r:id="rId12">
              <w:r>
                <w:rPr>
                  <w:rFonts w:ascii="Arial" w:cs="Arial" w:eastAsia="Arial" w:hAnsi="Arial"/>
                  <w:sz w:val="22"/>
                  <w:szCs w:val="22"/>
                  <w:color w:val="0000EE"/>
                </w:rPr>
                <w:t>MANAGEMENT, LLC</w:t>
              </w:r>
            </w:hyperlink>
          </w:p>
        </w:tc>
        <w:tc>
          <w:tcPr>
            <w:tcW w:w="16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gridSpan w:val="3"/>
            <w:vMerge w:val="restart"/>
          </w:tcPr>
          <w:p>
            <w:pPr>
              <w:ind w:left="28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gridSpan w:val="2"/>
            <w:vMerge w:val="restart"/>
          </w:tcPr>
          <w:p>
            <w:pPr>
              <w:ind w:left="280"/>
              <w:spacing w:after="0" w:line="102" w:lineRule="exact"/>
              <w:rPr>
                <w:sz w:val="20"/>
                <w:szCs w:val="20"/>
                <w:color w:val="auto"/>
              </w:rPr>
            </w:pPr>
            <w:r>
              <w:rPr>
                <w:rFonts w:ascii="Arial" w:cs="Arial" w:eastAsia="Arial" w:hAnsi="Arial"/>
                <w:sz w:val="11"/>
                <w:szCs w:val="11"/>
                <w:color w:val="auto"/>
              </w:rPr>
              <w:t>below)</w:t>
            </w:r>
          </w:p>
        </w:tc>
        <w:tc>
          <w:tcPr>
            <w:tcW w:w="30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440" w:type="dxa"/>
            <w:vAlign w:val="bottom"/>
            <w:gridSpan w:val="2"/>
            <w:vMerge w:val="restart"/>
          </w:tcPr>
          <w:p>
            <w:pPr>
              <w:ind w:left="20"/>
              <w:spacing w:after="0" w:line="102" w:lineRule="exact"/>
              <w:rPr>
                <w:sz w:val="20"/>
                <w:szCs w:val="20"/>
                <w:color w:val="auto"/>
              </w:rPr>
            </w:pPr>
            <w:r>
              <w:rPr>
                <w:rFonts w:ascii="Arial" w:cs="Arial" w:eastAsia="Arial" w:hAnsi="Arial"/>
                <w:sz w:val="11"/>
                <w:szCs w:val="11"/>
                <w:color w:val="auto"/>
              </w:rPr>
              <w:t>below)</w:t>
            </w: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gridSpan w:val="3"/>
            <w:vMerge w:val="restart"/>
          </w:tcPr>
          <w:p>
            <w:pPr>
              <w:ind w:left="240"/>
              <w:spacing w:after="0"/>
              <w:rPr>
                <w:sz w:val="20"/>
                <w:szCs w:val="20"/>
                <w:color w:val="auto"/>
              </w:rPr>
            </w:pPr>
            <w:r>
              <w:rPr>
                <w:rFonts w:ascii="Arial" w:cs="Arial" w:eastAsia="Arial" w:hAnsi="Arial"/>
                <w:sz w:val="18"/>
                <w:szCs w:val="18"/>
                <w:color w:val="0000FF"/>
                <w:w w:val="82"/>
              </w:rPr>
              <w:t>See Footnote 1</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9"/>
                <w:szCs w:val="19"/>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00" w:type="dxa"/>
            <w:vAlign w:val="bottom"/>
            <w:gridSpan w:val="2"/>
          </w:tcPr>
          <w:p>
            <w:pPr>
              <w:spacing w:after="0"/>
              <w:rPr>
                <w:sz w:val="20"/>
                <w:szCs w:val="20"/>
                <w:color w:val="auto"/>
              </w:rPr>
            </w:pPr>
            <w:r>
              <w:rPr>
                <w:rFonts w:ascii="Arial" w:cs="Arial" w:eastAsia="Arial" w:hAnsi="Arial"/>
                <w:sz w:val="14"/>
                <w:szCs w:val="14"/>
                <w:color w:val="auto"/>
                <w:w w:val="94"/>
              </w:rPr>
              <w:t>(Middle)</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0000FF"/>
              </w:rPr>
              <w:t>05/02/2007</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40" w:type="dxa"/>
            <w:vAlign w:val="bottom"/>
            <w:gridSpan w:val="7"/>
          </w:tcPr>
          <w:p>
            <w:pPr>
              <w:spacing w:after="0"/>
              <w:rPr>
                <w:sz w:val="20"/>
                <w:szCs w:val="20"/>
                <w:color w:val="auto"/>
              </w:rPr>
            </w:pPr>
            <w:r>
              <w:rPr>
                <w:rFonts w:ascii="Arial" w:cs="Arial" w:eastAsia="Arial" w:hAnsi="Arial"/>
                <w:sz w:val="18"/>
                <w:szCs w:val="18"/>
                <w:color w:val="0000FF"/>
                <w:w w:val="92"/>
              </w:rPr>
              <w:t>555 CALIFORNIA STREET, SUITE 2900</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3"/>
          </w:tcPr>
          <w:p>
            <w:pPr>
              <w:spacing w:after="0"/>
              <w:rPr>
                <w:sz w:val="13"/>
                <w:szCs w:val="13"/>
                <w:color w:val="auto"/>
              </w:rPr>
            </w:pPr>
          </w:p>
        </w:tc>
        <w:tc>
          <w:tcPr>
            <w:tcW w:w="940" w:type="dxa"/>
            <w:vAlign w:val="bottom"/>
            <w:tcBorders>
              <w:bottom w:val="single" w:sz="8" w:color="2C2C2C"/>
            </w:tcBorders>
            <w:gridSpan w:val="3"/>
          </w:tcPr>
          <w:p>
            <w:pPr>
              <w:spacing w:after="0"/>
              <w:rPr>
                <w:sz w:val="13"/>
                <w:szCs w:val="13"/>
                <w:color w:val="auto"/>
              </w:rPr>
            </w:pPr>
          </w:p>
        </w:tc>
        <w:tc>
          <w:tcPr>
            <w:tcW w:w="1240" w:type="dxa"/>
            <w:vAlign w:val="bottom"/>
            <w:tcBorders>
              <w:bottom w:val="single" w:sz="8" w:color="2C2C2C"/>
            </w:tcBorders>
            <w:gridSpan w:val="2"/>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gridSpan w:val="3"/>
          </w:tcPr>
          <w:p>
            <w:pPr>
              <w:spacing w:after="0"/>
              <w:rPr>
                <w:sz w:val="13"/>
                <w:szCs w:val="13"/>
                <w:color w:val="auto"/>
              </w:rPr>
            </w:pPr>
          </w:p>
        </w:tc>
        <w:tc>
          <w:tcPr>
            <w:tcW w:w="3080" w:type="dxa"/>
            <w:vAlign w:val="bottom"/>
            <w:tcBorders>
              <w:bottom w:val="single" w:sz="8" w:color="2C2C2C"/>
            </w:tcBorders>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28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46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340" w:type="dxa"/>
            <w:vAlign w:val="bottom"/>
            <w:tcBorders>
              <w:bottom w:val="single" w:sz="8" w:color="9A9A9A"/>
            </w:tcBorders>
          </w:tcPr>
          <w:p>
            <w:pPr>
              <w:spacing w:after="0"/>
              <w:rPr>
                <w:sz w:val="2"/>
                <w:szCs w:val="2"/>
                <w:color w:val="auto"/>
              </w:rPr>
            </w:pPr>
          </w:p>
        </w:tc>
        <w:tc>
          <w:tcPr>
            <w:tcW w:w="70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60" w:type="dxa"/>
            <w:vAlign w:val="bottom"/>
            <w:gridSpan w:val="8"/>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2"/>
                <w:szCs w:val="2"/>
                <w:color w:val="auto"/>
              </w:rPr>
            </w:pPr>
          </w:p>
        </w:tc>
        <w:tc>
          <w:tcPr>
            <w:tcW w:w="34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60" w:type="dxa"/>
            <w:vAlign w:val="bottom"/>
            <w:gridSpan w:val="8"/>
            <w:vMerge w:val="continue"/>
          </w:tcPr>
          <w:p>
            <w:pPr>
              <w:spacing w:after="0"/>
              <w:rPr>
                <w:sz w:val="12"/>
                <w:szCs w:val="12"/>
                <w:color w:val="auto"/>
              </w:rPr>
            </w:pPr>
          </w:p>
        </w:tc>
        <w:tc>
          <w:tcPr>
            <w:tcW w:w="440" w:type="dxa"/>
            <w:vAlign w:val="bottom"/>
          </w:tcPr>
          <w:p>
            <w:pPr>
              <w:spacing w:after="0"/>
              <w:rPr>
                <w:sz w:val="12"/>
                <w:szCs w:val="12"/>
                <w:color w:val="auto"/>
              </w:rPr>
            </w:pPr>
          </w:p>
        </w:tc>
        <w:tc>
          <w:tcPr>
            <w:tcW w:w="344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4"/>
          </w:tcPr>
          <w:p>
            <w:pPr>
              <w:ind w:left="80"/>
              <w:spacing w:after="0" w:line="141" w:lineRule="exact"/>
              <w:rPr>
                <w:sz w:val="20"/>
                <w:szCs w:val="20"/>
                <w:color w:val="auto"/>
              </w:rPr>
            </w:pPr>
            <w:r>
              <w:rPr>
                <w:rFonts w:ascii="Arial" w:cs="Arial" w:eastAsia="Arial" w:hAnsi="Arial"/>
                <w:sz w:val="14"/>
                <w:szCs w:val="14"/>
                <w:color w:val="auto"/>
              </w:rPr>
              <w:t>Line)</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2"/>
            <w:vMerge w:val="restart"/>
          </w:tcPr>
          <w:p>
            <w:pPr>
              <w:spacing w:after="0"/>
              <w:rPr>
                <w:sz w:val="20"/>
                <w:szCs w:val="20"/>
                <w:color w:val="auto"/>
              </w:rPr>
            </w:pPr>
            <w:r>
              <w:rPr>
                <w:rFonts w:ascii="Arial" w:cs="Arial" w:eastAsia="Arial" w:hAnsi="Arial"/>
                <w:sz w:val="18"/>
                <w:szCs w:val="18"/>
                <w:color w:val="0000FF"/>
                <w:w w:val="95"/>
              </w:rPr>
              <w:t>94104</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8"/>
            <w:vMerge w:val="restart"/>
          </w:tcPr>
          <w:p>
            <w:pPr>
              <w:ind w:left="3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300"/>
              <w:spacing w:after="0" w:line="102" w:lineRule="exact"/>
              <w:rPr>
                <w:sz w:val="20"/>
                <w:szCs w:val="20"/>
                <w:color w:val="auto"/>
              </w:rPr>
            </w:pPr>
            <w:r>
              <w:rPr>
                <w:rFonts w:ascii="Arial" w:cs="Arial" w:eastAsia="Arial" w:hAnsi="Arial"/>
                <w:sz w:val="11"/>
                <w:szCs w:val="11"/>
                <w:color w:val="auto"/>
              </w:rPr>
              <w:t>Person</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00" w:type="dxa"/>
            <w:vAlign w:val="bottom"/>
            <w:gridSpan w:val="2"/>
          </w:tcPr>
          <w:p>
            <w:pPr>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3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21"/>
          </w:tcPr>
          <w:p>
            <w:pPr>
              <w:jc w:val="center"/>
              <w:ind w:right="25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2. Transaction</w:t>
            </w:r>
          </w:p>
        </w:tc>
        <w:tc>
          <w:tcPr>
            <w:tcW w:w="18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5"/>
          </w:tcPr>
          <w:p>
            <w:pPr>
              <w:jc w:val="center"/>
              <w:ind w:right="5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26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8"/>
            <w:vMerge w:val="restart"/>
          </w:tcPr>
          <w:p>
            <w:pPr>
              <w:ind w:left="60"/>
              <w:spacing w:after="0"/>
              <w:rPr>
                <w:sz w:val="20"/>
                <w:szCs w:val="20"/>
                <w:color w:val="auto"/>
              </w:rPr>
            </w:pPr>
            <w:r>
              <w:rPr>
                <w:rFonts w:ascii="Arial" w:cs="Arial" w:eastAsia="Arial" w:hAnsi="Arial"/>
                <w:sz w:val="18"/>
                <w:szCs w:val="18"/>
                <w:color w:val="0000FF"/>
              </w:rPr>
              <w:t>Common Stock, par value $0.001 per</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Financial</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920" w:type="dxa"/>
            <w:vAlign w:val="bottom"/>
            <w:gridSpan w:val="4"/>
            <w:vMerge w:val="restart"/>
          </w:tcPr>
          <w:p>
            <w:pPr>
              <w:jc w:val="center"/>
              <w:ind w:left="2"/>
              <w:spacing w:after="0"/>
              <w:rPr>
                <w:sz w:val="20"/>
                <w:szCs w:val="20"/>
                <w:color w:val="auto"/>
              </w:rPr>
            </w:pPr>
            <w:r>
              <w:rPr>
                <w:rFonts w:ascii="Arial" w:cs="Arial" w:eastAsia="Arial" w:hAnsi="Arial"/>
                <w:sz w:val="18"/>
                <w:szCs w:val="18"/>
                <w:color w:val="0000FF"/>
                <w:w w:val="88"/>
              </w:rPr>
              <w:t>05/02/2007</w:t>
            </w: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820" w:type="dxa"/>
            <w:vAlign w:val="bottom"/>
            <w:gridSpan w:val="2"/>
            <w:vMerge w:val="restart"/>
          </w:tcPr>
          <w:p>
            <w:pPr>
              <w:jc w:val="center"/>
              <w:ind w:right="59"/>
              <w:spacing w:after="0"/>
              <w:rPr>
                <w:sz w:val="20"/>
                <w:szCs w:val="20"/>
                <w:color w:val="auto"/>
              </w:rPr>
            </w:pPr>
            <w:r>
              <w:rPr>
                <w:rFonts w:ascii="Arial" w:cs="Arial" w:eastAsia="Arial" w:hAnsi="Arial"/>
                <w:sz w:val="18"/>
                <w:szCs w:val="18"/>
                <w:color w:val="0000FF"/>
                <w:w w:val="89"/>
              </w:rPr>
              <w:t>179,352</w:t>
            </w:r>
          </w:p>
        </w:tc>
        <w:tc>
          <w:tcPr>
            <w:tcW w:w="48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720" w:type="dxa"/>
            <w:vAlign w:val="bottom"/>
            <w:gridSpan w:val="3"/>
            <w:vMerge w:val="restart"/>
          </w:tcPr>
          <w:p>
            <w:pPr>
              <w:ind w:left="4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22.5554</w:t>
            </w: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1,514,926</w:t>
            </w:r>
          </w:p>
        </w:tc>
        <w:tc>
          <w:tcPr>
            <w:tcW w:w="300" w:type="dxa"/>
            <w:vAlign w:val="bottom"/>
          </w:tcPr>
          <w:p>
            <w:pPr>
              <w:spacing w:after="0"/>
              <w:rPr>
                <w:sz w:val="9"/>
                <w:szCs w:val="9"/>
                <w:color w:val="auto"/>
              </w:rPr>
            </w:pPr>
          </w:p>
        </w:tc>
        <w:tc>
          <w:tcPr>
            <w:tcW w:w="3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2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color w:val="0000FF"/>
                <w:w w:val="96"/>
              </w:rPr>
              <w:t>Technology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color w:val="0000FF"/>
              </w:rPr>
              <w:t>Ventures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(Q), L.P.</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8"/>
            <w:vMerge w:val="restart"/>
          </w:tcPr>
          <w:p>
            <w:pPr>
              <w:ind w:left="60"/>
              <w:spacing w:after="0"/>
              <w:rPr>
                <w:sz w:val="20"/>
                <w:szCs w:val="20"/>
                <w:color w:val="auto"/>
              </w:rPr>
            </w:pPr>
            <w:r>
              <w:rPr>
                <w:rFonts w:ascii="Arial" w:cs="Arial" w:eastAsia="Arial" w:hAnsi="Arial"/>
                <w:sz w:val="18"/>
                <w:szCs w:val="18"/>
                <w:color w:val="0000FF"/>
              </w:rPr>
              <w:t>Common Stock, par value $0.001 per</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Financial</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920" w:type="dxa"/>
            <w:vAlign w:val="bottom"/>
            <w:gridSpan w:val="4"/>
            <w:vMerge w:val="restart"/>
          </w:tcPr>
          <w:p>
            <w:pPr>
              <w:jc w:val="center"/>
              <w:ind w:left="2"/>
              <w:spacing w:after="0"/>
              <w:rPr>
                <w:sz w:val="20"/>
                <w:szCs w:val="20"/>
                <w:color w:val="auto"/>
              </w:rPr>
            </w:pPr>
            <w:r>
              <w:rPr>
                <w:rFonts w:ascii="Arial" w:cs="Arial" w:eastAsia="Arial" w:hAnsi="Arial"/>
                <w:sz w:val="18"/>
                <w:szCs w:val="18"/>
                <w:color w:val="0000FF"/>
                <w:w w:val="88"/>
              </w:rPr>
              <w:t>05/02/2007</w:t>
            </w: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820" w:type="dxa"/>
            <w:vAlign w:val="bottom"/>
            <w:gridSpan w:val="2"/>
            <w:vMerge w:val="restart"/>
          </w:tcPr>
          <w:p>
            <w:pPr>
              <w:jc w:val="center"/>
              <w:ind w:right="39"/>
              <w:spacing w:after="0"/>
              <w:rPr>
                <w:sz w:val="20"/>
                <w:szCs w:val="20"/>
                <w:color w:val="auto"/>
              </w:rPr>
            </w:pPr>
            <w:r>
              <w:rPr>
                <w:rFonts w:ascii="Arial" w:cs="Arial" w:eastAsia="Arial" w:hAnsi="Arial"/>
                <w:sz w:val="18"/>
                <w:szCs w:val="18"/>
                <w:color w:val="0000FF"/>
                <w:w w:val="87"/>
              </w:rPr>
              <w:t>35,195</w:t>
            </w:r>
          </w:p>
        </w:tc>
        <w:tc>
          <w:tcPr>
            <w:tcW w:w="48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720" w:type="dxa"/>
            <w:vAlign w:val="bottom"/>
            <w:gridSpan w:val="3"/>
            <w:vMerge w:val="restart"/>
          </w:tcPr>
          <w:p>
            <w:pPr>
              <w:ind w:left="4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22.4707</w:t>
            </w: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1,479,731</w:t>
            </w:r>
          </w:p>
        </w:tc>
        <w:tc>
          <w:tcPr>
            <w:tcW w:w="300" w:type="dxa"/>
            <w:vAlign w:val="bottom"/>
          </w:tcPr>
          <w:p>
            <w:pPr>
              <w:spacing w:after="0"/>
              <w:rPr>
                <w:sz w:val="9"/>
                <w:szCs w:val="9"/>
                <w:color w:val="auto"/>
              </w:rPr>
            </w:pPr>
          </w:p>
        </w:tc>
        <w:tc>
          <w:tcPr>
            <w:tcW w:w="3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2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color w:val="0000FF"/>
                <w:w w:val="96"/>
              </w:rPr>
              <w:t>Technology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color w:val="0000FF"/>
              </w:rPr>
              <w:t>Ventures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(Q), L.P.</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8"/>
            <w:vMerge w:val="restart"/>
          </w:tcPr>
          <w:p>
            <w:pPr>
              <w:ind w:left="60"/>
              <w:spacing w:after="0"/>
              <w:rPr>
                <w:sz w:val="20"/>
                <w:szCs w:val="20"/>
                <w:color w:val="auto"/>
              </w:rPr>
            </w:pPr>
            <w:r>
              <w:rPr>
                <w:rFonts w:ascii="Arial" w:cs="Arial" w:eastAsia="Arial" w:hAnsi="Arial"/>
                <w:sz w:val="18"/>
                <w:szCs w:val="18"/>
                <w:color w:val="0000FF"/>
              </w:rPr>
              <w:t>Common Stock, par value $0.001 per</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Financial</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920" w:type="dxa"/>
            <w:vAlign w:val="bottom"/>
            <w:gridSpan w:val="4"/>
            <w:vMerge w:val="restart"/>
          </w:tcPr>
          <w:p>
            <w:pPr>
              <w:jc w:val="center"/>
              <w:ind w:left="2"/>
              <w:spacing w:after="0"/>
              <w:rPr>
                <w:sz w:val="20"/>
                <w:szCs w:val="20"/>
                <w:color w:val="auto"/>
              </w:rPr>
            </w:pPr>
            <w:r>
              <w:rPr>
                <w:rFonts w:ascii="Arial" w:cs="Arial" w:eastAsia="Arial" w:hAnsi="Arial"/>
                <w:sz w:val="18"/>
                <w:szCs w:val="18"/>
                <w:color w:val="0000FF"/>
                <w:w w:val="88"/>
              </w:rPr>
              <w:t>05/02/2007</w:t>
            </w: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820" w:type="dxa"/>
            <w:vAlign w:val="bottom"/>
            <w:gridSpan w:val="2"/>
            <w:vMerge w:val="restart"/>
          </w:tcPr>
          <w:p>
            <w:pPr>
              <w:jc w:val="center"/>
              <w:ind w:right="59"/>
              <w:spacing w:after="0"/>
              <w:rPr>
                <w:sz w:val="20"/>
                <w:szCs w:val="20"/>
                <w:color w:val="auto"/>
              </w:rPr>
            </w:pPr>
            <w:r>
              <w:rPr>
                <w:rFonts w:ascii="Arial" w:cs="Arial" w:eastAsia="Arial" w:hAnsi="Arial"/>
                <w:sz w:val="18"/>
                <w:szCs w:val="18"/>
                <w:color w:val="0000FF"/>
                <w:w w:val="84"/>
              </w:rPr>
              <w:t>6,648</w:t>
            </w:r>
          </w:p>
        </w:tc>
        <w:tc>
          <w:tcPr>
            <w:tcW w:w="48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720" w:type="dxa"/>
            <w:vAlign w:val="bottom"/>
            <w:gridSpan w:val="3"/>
            <w:vMerge w:val="restart"/>
          </w:tcPr>
          <w:p>
            <w:pPr>
              <w:ind w:left="4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22.5554</w:t>
            </w: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56,158</w:t>
            </w:r>
          </w:p>
        </w:tc>
        <w:tc>
          <w:tcPr>
            <w:tcW w:w="300" w:type="dxa"/>
            <w:vAlign w:val="bottom"/>
          </w:tcPr>
          <w:p>
            <w:pPr>
              <w:spacing w:after="0"/>
              <w:rPr>
                <w:sz w:val="9"/>
                <w:szCs w:val="9"/>
                <w:color w:val="auto"/>
              </w:rPr>
            </w:pPr>
          </w:p>
        </w:tc>
        <w:tc>
          <w:tcPr>
            <w:tcW w:w="3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2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color w:val="0000FF"/>
                <w:w w:val="96"/>
              </w:rPr>
              <w:t>Technology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color w:val="0000FF"/>
              </w:rPr>
              <w:t>Ventures,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8"/>
            <w:vMerge w:val="restart"/>
          </w:tcPr>
          <w:p>
            <w:pPr>
              <w:ind w:left="60"/>
              <w:spacing w:after="0"/>
              <w:rPr>
                <w:sz w:val="20"/>
                <w:szCs w:val="20"/>
                <w:color w:val="auto"/>
              </w:rPr>
            </w:pPr>
            <w:r>
              <w:rPr>
                <w:rFonts w:ascii="Arial" w:cs="Arial" w:eastAsia="Arial" w:hAnsi="Arial"/>
                <w:sz w:val="18"/>
                <w:szCs w:val="18"/>
                <w:color w:val="0000FF"/>
              </w:rPr>
              <w:t>Common Stock, par value $0.001 per</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Financial</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920" w:type="dxa"/>
            <w:vAlign w:val="bottom"/>
            <w:gridSpan w:val="4"/>
            <w:vMerge w:val="restart"/>
          </w:tcPr>
          <w:p>
            <w:pPr>
              <w:jc w:val="center"/>
              <w:ind w:left="2"/>
              <w:spacing w:after="0"/>
              <w:rPr>
                <w:sz w:val="20"/>
                <w:szCs w:val="20"/>
                <w:color w:val="auto"/>
              </w:rPr>
            </w:pPr>
            <w:r>
              <w:rPr>
                <w:rFonts w:ascii="Arial" w:cs="Arial" w:eastAsia="Arial" w:hAnsi="Arial"/>
                <w:sz w:val="18"/>
                <w:szCs w:val="18"/>
                <w:color w:val="0000FF"/>
                <w:w w:val="88"/>
              </w:rPr>
              <w:t>05/02/2007</w:t>
            </w: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820" w:type="dxa"/>
            <w:vAlign w:val="bottom"/>
            <w:gridSpan w:val="2"/>
            <w:vMerge w:val="restart"/>
          </w:tcPr>
          <w:p>
            <w:pPr>
              <w:jc w:val="center"/>
              <w:ind w:right="59"/>
              <w:spacing w:after="0"/>
              <w:rPr>
                <w:sz w:val="20"/>
                <w:szCs w:val="20"/>
                <w:color w:val="auto"/>
              </w:rPr>
            </w:pPr>
            <w:r>
              <w:rPr>
                <w:rFonts w:ascii="Arial" w:cs="Arial" w:eastAsia="Arial" w:hAnsi="Arial"/>
                <w:sz w:val="18"/>
                <w:szCs w:val="18"/>
                <w:color w:val="0000FF"/>
                <w:w w:val="84"/>
              </w:rPr>
              <w:t>1,305</w:t>
            </w:r>
          </w:p>
        </w:tc>
        <w:tc>
          <w:tcPr>
            <w:tcW w:w="48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720" w:type="dxa"/>
            <w:vAlign w:val="bottom"/>
            <w:gridSpan w:val="3"/>
            <w:vMerge w:val="restart"/>
          </w:tcPr>
          <w:p>
            <w:pPr>
              <w:ind w:left="4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22.4707</w:t>
            </w: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54,853</w:t>
            </w:r>
          </w:p>
        </w:tc>
        <w:tc>
          <w:tcPr>
            <w:tcW w:w="300" w:type="dxa"/>
            <w:vAlign w:val="bottom"/>
          </w:tcPr>
          <w:p>
            <w:pPr>
              <w:spacing w:after="0"/>
              <w:rPr>
                <w:sz w:val="9"/>
                <w:szCs w:val="9"/>
                <w:color w:val="auto"/>
              </w:rPr>
            </w:pPr>
          </w:p>
        </w:tc>
        <w:tc>
          <w:tcPr>
            <w:tcW w:w="3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2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color w:val="0000FF"/>
                <w:w w:val="96"/>
              </w:rPr>
              <w:t>Technology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color w:val="0000FF"/>
              </w:rPr>
              <w:t>Ventures,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20"/>
          </w:tcPr>
          <w:p>
            <w:pPr>
              <w:jc w:val="center"/>
              <w:ind w:left="2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0" w:type="dxa"/>
            <w:vAlign w:val="bottom"/>
            <w:gridSpan w:val="14"/>
          </w:tcPr>
          <w:p>
            <w:pPr>
              <w:jc w:val="center"/>
              <w:ind w:left="4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4"/>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3"/>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Financial Technology Management, LLC ("FTM") is the general partner of Financial Technology Ventures (Q), L.P. ("FTVQ") and Financial Technology Ventures, L.P. ("FTV"). Pursuant to Rule 16a-1(a)(2) (ii)(B) under the Securities Exchange Act of 1934, as amended (the "Act"), FTM is deemed to be a beneficial owner of the securities owned by FTVQ and FTV only to the extent of the greater of its respective direct or indirect interest in the profits or capital account of FTVQ and FTV. Pursuant to Rule 16a-1(a)(4) under the Act, this filing shall not be deemed an admission that FTM is, for purposes of Section 16 of the Act or otherwise, the beneficial owner of any securities owned by FTVQ or FTV in excess of such amount.</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Pr>
          <w:p>
            <w:pPr>
              <w:spacing w:after="0"/>
              <w:rPr>
                <w:sz w:val="20"/>
                <w:szCs w:val="20"/>
                <w:color w:val="auto"/>
              </w:rPr>
            </w:pPr>
            <w:r>
              <w:rPr>
                <w:rFonts w:ascii="Arial" w:cs="Arial" w:eastAsia="Arial" w:hAnsi="Arial"/>
                <w:sz w:val="18"/>
                <w:szCs w:val="18"/>
                <w:color w:val="0000FF"/>
                <w:w w:val="88"/>
              </w:rPr>
              <w:t>/s/ Richard N. Garman</w:t>
            </w:r>
          </w:p>
        </w:tc>
        <w:tc>
          <w:tcPr>
            <w:tcW w:w="52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05/04/2007</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53" w:orient="portrait"/>
          <w:cols w:equalWidth="0" w:num="1">
            <w:col w:w="11420"/>
          </w:cols>
          <w:pgMar w:left="240" w:top="226" w:right="2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91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2019-12-16T20:31:42Z</dcterms:created>
  <dcterms:modified xsi:type="dcterms:W3CDTF">2019-12-16T20:31:42Z</dcterms:modified>
</cp:coreProperties>
</file>