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2"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300" w:hanging="274"/>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8" w:lineRule="exact"/>
        <w:rPr>
          <w:sz w:val="24"/>
          <w:szCs w:val="24"/>
          <w:color w:val="auto"/>
        </w:rPr>
      </w:pPr>
    </w:p>
    <w:p>
      <w:pPr>
        <w:ind w:left="314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3922395</wp:posOffset>
            </wp:positionH>
            <wp:positionV relativeFrom="paragraph">
              <wp:posOffset>-4445</wp:posOffset>
            </wp:positionV>
            <wp:extent cx="1226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29" w:lineRule="exact"/>
        <w:rPr>
          <w:sz w:val="24"/>
          <w:szCs w:val="24"/>
          <w:color w:val="auto"/>
        </w:rPr>
      </w:pPr>
    </w:p>
    <w:tbl>
      <w:tblPr>
        <w:tblLayout w:type="fixed"/>
        <w:tblInd w:w="35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gridSpan w:val="2"/>
          </w:tcPr>
          <w:p>
            <w:pPr>
              <w:jc w:val="center"/>
              <w:ind w:right="1320"/>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jc w:val="right"/>
              <w:ind w:right="2024"/>
              <w:spacing w:after="0"/>
              <w:rPr>
                <w:sz w:val="20"/>
                <w:szCs w:val="20"/>
                <w:color w:val="auto"/>
              </w:rPr>
            </w:pPr>
            <w:r>
              <w:rPr>
                <w:rFonts w:ascii="Arial" w:cs="Arial" w:eastAsia="Arial" w:hAnsi="Arial"/>
                <w:sz w:val="16"/>
                <w:szCs w:val="16"/>
                <w:b w:val="1"/>
                <w:bCs w:val="1"/>
                <w:color w:val="auto"/>
              </w:rPr>
              <w:t>82-0572194</w:t>
            </w:r>
          </w:p>
        </w:tc>
        <w:tc>
          <w:tcPr>
            <w:tcW w:w="560" w:type="dxa"/>
            <w:vAlign w:val="bottom"/>
          </w:tcPr>
          <w:p>
            <w:pPr>
              <w:spacing w:after="0"/>
              <w:rPr>
                <w:sz w:val="18"/>
                <w:szCs w:val="18"/>
                <w:color w:val="auto"/>
              </w:rPr>
            </w:pPr>
          </w:p>
        </w:tc>
      </w:tr>
      <w:tr>
        <w:trPr>
          <w:trHeight w:val="144"/>
        </w:trPr>
        <w:tc>
          <w:tcPr>
            <w:tcW w:w="1300" w:type="dxa"/>
            <w:vAlign w:val="bottom"/>
          </w:tcPr>
          <w:p>
            <w:pPr>
              <w:spacing w:after="0"/>
              <w:rPr>
                <w:sz w:val="12"/>
                <w:szCs w:val="12"/>
                <w:color w:val="auto"/>
              </w:rPr>
            </w:pPr>
          </w:p>
        </w:tc>
        <w:tc>
          <w:tcPr>
            <w:tcW w:w="33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3"/>
          </w:tcPr>
          <w:p>
            <w:pPr>
              <w:jc w:val="center"/>
              <w:ind w:right="2460"/>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300" w:type="dxa"/>
            <w:vAlign w:val="bottom"/>
          </w:tcPr>
          <w:p>
            <w:pPr>
              <w:spacing w:after="0"/>
              <w:rPr>
                <w:sz w:val="16"/>
                <w:szCs w:val="16"/>
                <w:color w:val="auto"/>
              </w:rPr>
            </w:pPr>
          </w:p>
        </w:tc>
        <w:tc>
          <w:tcPr>
            <w:tcW w:w="3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6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94"/>
              </w:rPr>
              <w:t>Identification No.)</w:t>
            </w:r>
          </w:p>
        </w:tc>
      </w:tr>
      <w:tr>
        <w:trPr>
          <w:trHeight w:val="272"/>
        </w:trPr>
        <w:tc>
          <w:tcPr>
            <w:tcW w:w="1300" w:type="dxa"/>
            <w:vAlign w:val="bottom"/>
          </w:tcPr>
          <w:p>
            <w:pPr>
              <w:spacing w:after="0"/>
              <w:rPr>
                <w:sz w:val="23"/>
                <w:szCs w:val="23"/>
                <w:color w:val="auto"/>
              </w:rPr>
            </w:pPr>
          </w:p>
        </w:tc>
        <w:tc>
          <w:tcPr>
            <w:tcW w:w="3300" w:type="dxa"/>
            <w:vAlign w:val="bottom"/>
            <w:gridSpan w:val="3"/>
          </w:tcPr>
          <w:p>
            <w:pPr>
              <w:ind w:left="580"/>
              <w:spacing w:after="0"/>
              <w:rPr>
                <w:sz w:val="20"/>
                <w:szCs w:val="20"/>
                <w:color w:val="auto"/>
              </w:rPr>
            </w:pPr>
            <w:r>
              <w:rPr>
                <w:rFonts w:ascii="Arial" w:cs="Arial" w:eastAsia="Arial" w:hAnsi="Arial"/>
                <w:sz w:val="16"/>
                <w:szCs w:val="16"/>
                <w:b w:val="1"/>
                <w:bCs w:val="1"/>
                <w:color w:val="auto"/>
              </w:rPr>
              <w:t>320 Park Avenue, 29</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Floor,</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07"/>
        </w:trPr>
        <w:tc>
          <w:tcPr>
            <w:tcW w:w="1300" w:type="dxa"/>
            <w:vAlign w:val="bottom"/>
          </w:tcPr>
          <w:p>
            <w:pPr>
              <w:spacing w:after="0"/>
              <w:rPr>
                <w:sz w:val="18"/>
                <w:szCs w:val="18"/>
                <w:color w:val="auto"/>
              </w:rPr>
            </w:pPr>
          </w:p>
        </w:tc>
        <w:tc>
          <w:tcPr>
            <w:tcW w:w="3300" w:type="dxa"/>
            <w:vAlign w:val="bottom"/>
            <w:gridSpan w:val="3"/>
          </w:tcPr>
          <w:p>
            <w:pPr>
              <w:ind w:left="1080"/>
              <w:spacing w:after="0"/>
              <w:rPr>
                <w:sz w:val="20"/>
                <w:szCs w:val="20"/>
                <w:color w:val="auto"/>
              </w:rPr>
            </w:pPr>
            <w:r>
              <w:rPr>
                <w:rFonts w:ascii="Arial" w:cs="Arial" w:eastAsia="Arial" w:hAnsi="Arial"/>
                <w:sz w:val="16"/>
                <w:szCs w:val="16"/>
                <w:b w:val="1"/>
                <w:bCs w:val="1"/>
                <w:color w:val="auto"/>
              </w:rPr>
              <w:t>New York, New York</w:t>
            </w: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jc w:val="right"/>
              <w:ind w:right="2224"/>
              <w:spacing w:after="0"/>
              <w:rPr>
                <w:sz w:val="20"/>
                <w:szCs w:val="20"/>
                <w:color w:val="auto"/>
              </w:rPr>
            </w:pPr>
            <w:r>
              <w:rPr>
                <w:rFonts w:ascii="Arial" w:cs="Arial" w:eastAsia="Arial" w:hAnsi="Arial"/>
                <w:sz w:val="16"/>
                <w:szCs w:val="16"/>
                <w:b w:val="1"/>
                <w:bCs w:val="1"/>
                <w:color w:val="auto"/>
              </w:rPr>
              <w:t>10022</w:t>
            </w:r>
          </w:p>
        </w:tc>
        <w:tc>
          <w:tcPr>
            <w:tcW w:w="560" w:type="dxa"/>
            <w:vAlign w:val="bottom"/>
          </w:tcPr>
          <w:p>
            <w:pPr>
              <w:spacing w:after="0"/>
              <w:rPr>
                <w:sz w:val="18"/>
                <w:szCs w:val="18"/>
                <w:color w:val="auto"/>
              </w:rPr>
            </w:pPr>
          </w:p>
        </w:tc>
      </w:tr>
      <w:tr>
        <w:trPr>
          <w:trHeight w:val="186"/>
        </w:trPr>
        <w:tc>
          <w:tcPr>
            <w:tcW w:w="1300" w:type="dxa"/>
            <w:vAlign w:val="bottom"/>
          </w:tcPr>
          <w:p>
            <w:pPr>
              <w:spacing w:after="0"/>
              <w:rPr>
                <w:sz w:val="16"/>
                <w:szCs w:val="16"/>
                <w:color w:val="auto"/>
              </w:rPr>
            </w:pPr>
          </w:p>
        </w:tc>
        <w:tc>
          <w:tcPr>
            <w:tcW w:w="3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2"/>
          </w:tcPr>
          <w:p>
            <w:pPr>
              <w:jc w:val="center"/>
              <w:ind w:right="2700"/>
              <w:spacing w:after="0"/>
              <w:rPr>
                <w:sz w:val="20"/>
                <w:szCs w:val="20"/>
                <w:color w:val="auto"/>
              </w:rPr>
            </w:pPr>
            <w:r>
              <w:rPr>
                <w:rFonts w:ascii="Arial" w:cs="Arial" w:eastAsia="Arial" w:hAnsi="Arial"/>
                <w:sz w:val="14"/>
                <w:szCs w:val="14"/>
                <w:b w:val="1"/>
                <w:bCs w:val="1"/>
                <w:color w:val="auto"/>
                <w:w w:val="95"/>
              </w:rPr>
              <w:t>(Zip code)</w:t>
            </w:r>
          </w:p>
        </w:tc>
      </w:tr>
      <w:tr>
        <w:trPr>
          <w:trHeight w:val="289"/>
        </w:trPr>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jc w:val="center"/>
              <w:ind w:left="42"/>
              <w:spacing w:after="0"/>
              <w:rPr>
                <w:sz w:val="20"/>
                <w:szCs w:val="20"/>
                <w:color w:val="auto"/>
              </w:rPr>
            </w:pPr>
            <w:r>
              <w:rPr>
                <w:rFonts w:ascii="Arial" w:cs="Arial" w:eastAsia="Arial" w:hAnsi="Arial"/>
                <w:sz w:val="16"/>
                <w:szCs w:val="16"/>
                <w:b w:val="1"/>
                <w:bCs w:val="1"/>
                <w:color w:val="auto"/>
                <w:w w:val="93"/>
              </w:rPr>
              <w:t>(212) 277-7100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40" w:type="dxa"/>
            <w:vAlign w:val="bottom"/>
            <w:gridSpan w:val="5"/>
          </w:tcPr>
          <w:p>
            <w:pPr>
              <w:jc w:val="center"/>
              <w:ind w:left="104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20"/>
        </w:trPr>
        <w:tc>
          <w:tcPr>
            <w:tcW w:w="1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gridSpan w:val="3"/>
          </w:tcPr>
          <w:p>
            <w:pPr>
              <w:spacing w:after="0"/>
              <w:rPr>
                <w:sz w:val="10"/>
                <w:szCs w:val="10"/>
                <w:color w:val="auto"/>
              </w:rPr>
            </w:pPr>
          </w:p>
        </w:tc>
        <w:tc>
          <w:tcPr>
            <w:tcW w:w="1320" w:type="dxa"/>
            <w:vAlign w:val="bottom"/>
            <w:tcBorders>
              <w:bottom w:val="single" w:sz="8" w:color="auto"/>
            </w:tcBorders>
            <w:gridSpan w:val="3"/>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r>
        <w:trPr>
          <w:trHeight w:val="207"/>
        </w:trPr>
        <w:tc>
          <w:tcPr>
            <w:tcW w:w="1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100" w:type="dxa"/>
            <w:vAlign w:val="bottom"/>
            <w:tcBorders>
              <w:bottom w:val="single" w:sz="8" w:color="auto"/>
              <w:right w:val="single" w:sz="8" w:color="auto"/>
            </w:tcBorders>
            <w:gridSpan w:val="8"/>
          </w:tcPr>
          <w:p>
            <w:pPr>
              <w:jc w:val="center"/>
              <w:ind w:right="252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172"/>
        </w:trPr>
        <w:tc>
          <w:tcPr>
            <w:tcW w:w="3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Title of Each Class:</w:t>
            </w:r>
          </w:p>
        </w:tc>
        <w:tc>
          <w:tcPr>
            <w:tcW w:w="760" w:type="dxa"/>
            <w:vAlign w:val="bottom"/>
          </w:tcPr>
          <w:p>
            <w:pPr>
              <w:spacing w:after="0"/>
              <w:rPr>
                <w:sz w:val="14"/>
                <w:szCs w:val="14"/>
                <w:color w:val="auto"/>
              </w:rPr>
            </w:pPr>
          </w:p>
        </w:tc>
        <w:tc>
          <w:tcPr>
            <w:tcW w:w="2040" w:type="dxa"/>
            <w:vAlign w:val="bottom"/>
            <w:tcBorders>
              <w:right w:val="single" w:sz="8" w:color="auto"/>
            </w:tcBorders>
            <w:gridSpan w:val="2"/>
          </w:tcPr>
          <w:p>
            <w:pPr>
              <w:jc w:val="center"/>
              <w:ind w:right="780"/>
              <w:spacing w:after="0" w:line="172" w:lineRule="exact"/>
              <w:rPr>
                <w:sz w:val="20"/>
                <w:szCs w:val="20"/>
                <w:color w:val="auto"/>
              </w:rPr>
            </w:pPr>
            <w:r>
              <w:rPr>
                <w:rFonts w:ascii="Arial" w:cs="Arial" w:eastAsia="Arial" w:hAnsi="Arial"/>
                <w:sz w:val="16"/>
                <w:szCs w:val="16"/>
                <w:b w:val="1"/>
                <w:bCs w:val="1"/>
                <w:color w:val="auto"/>
                <w:w w:val="90"/>
              </w:rPr>
              <w:t>Trading symbol(s)</w:t>
            </w:r>
          </w:p>
        </w:tc>
        <w:tc>
          <w:tcPr>
            <w:tcW w:w="300" w:type="dxa"/>
            <w:vAlign w:val="bottom"/>
          </w:tcPr>
          <w:p>
            <w:pPr>
              <w:spacing w:after="0"/>
              <w:rPr>
                <w:sz w:val="14"/>
                <w:szCs w:val="14"/>
                <w:color w:val="auto"/>
              </w:rPr>
            </w:pPr>
          </w:p>
        </w:tc>
        <w:tc>
          <w:tcPr>
            <w:tcW w:w="366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76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4"/>
                <w:szCs w:val="14"/>
                <w:color w:val="auto"/>
              </w:rPr>
              <w:t>EXLS</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20" w:type="dxa"/>
            <w:vAlign w:val="bottom"/>
            <w:tcBorders>
              <w:bottom w:val="single" w:sz="8" w:color="auto"/>
              <w:right w:val="single" w:sz="8" w:color="auto"/>
            </w:tcBorders>
            <w:gridSpan w:val="2"/>
          </w:tcPr>
          <w:p>
            <w:pPr>
              <w:jc w:val="center"/>
              <w:ind w:right="580"/>
              <w:spacing w:after="0"/>
              <w:rPr>
                <w:sz w:val="20"/>
                <w:szCs w:val="20"/>
                <w:color w:val="auto"/>
              </w:rPr>
            </w:pPr>
            <w:r>
              <w:rPr>
                <w:rFonts w:ascii="Arial" w:cs="Arial" w:eastAsia="Arial" w:hAnsi="Arial"/>
                <w:sz w:val="16"/>
                <w:szCs w:val="16"/>
                <w:color w:val="auto"/>
              </w:rPr>
              <w:t>NASDAQ</w:t>
            </w:r>
          </w:p>
        </w:tc>
      </w:tr>
    </w:tbl>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214" w:lineRule="exact"/>
        <w:rPr>
          <w:sz w:val="24"/>
          <w:szCs w:val="24"/>
          <w:color w:val="auto"/>
        </w:rPr>
      </w:pPr>
    </w:p>
    <w:p>
      <w:pPr>
        <w:jc w:val="both"/>
        <w:ind w:firstLine="324"/>
        <w:spacing w:after="0" w:line="24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1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252" w:lineRule="exact"/>
        <w:rPr>
          <w:sz w:val="24"/>
          <w:szCs w:val="24"/>
          <w:color w:val="auto"/>
        </w:rPr>
      </w:pPr>
    </w:p>
    <w:p>
      <w:pPr>
        <w:jc w:val="both"/>
        <w:ind w:firstLine="324"/>
        <w:spacing w:after="0" w:line="24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w:t>
      </w:r>
    </w:p>
    <w:p>
      <w:pPr>
        <w:spacing w:after="0" w:line="1" w:lineRule="exact"/>
        <w:rPr>
          <w:sz w:val="24"/>
          <w:szCs w:val="24"/>
          <w:color w:val="auto"/>
        </w:rPr>
      </w:pPr>
    </w:p>
    <w:p>
      <w:pPr>
        <w:spacing w:after="0" w:line="219" w:lineRule="exact"/>
        <w:tabs>
          <w:tab w:leader="none" w:pos="7000" w:val="left"/>
        </w:tabs>
        <w:rPr>
          <w:sz w:val="20"/>
          <w:szCs w:val="20"/>
          <w:color w:val="auto"/>
        </w:rPr>
      </w:pPr>
      <w:r>
        <w:rPr>
          <w:rFonts w:ascii="Arial" w:cs="Arial" w:eastAsia="Arial" w:hAnsi="Arial"/>
          <w:sz w:val="16"/>
          <w:szCs w:val="16"/>
          <w:color w:val="auto"/>
        </w:rPr>
        <w:t xml:space="preserve">months (or for such shorter period that the registrant was required to submit and post such files).  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252" w:lineRule="exact"/>
        <w:rPr>
          <w:sz w:val="24"/>
          <w:szCs w:val="24"/>
          <w:color w:val="auto"/>
        </w:rPr>
      </w:pPr>
    </w:p>
    <w:p>
      <w:pPr>
        <w:jc w:val="both"/>
        <w:ind w:right="2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73" w:lineRule="exact"/>
        <w:rPr>
          <w:sz w:val="24"/>
          <w:szCs w:val="24"/>
          <w:color w:val="auto"/>
        </w:rPr>
      </w:pPr>
    </w:p>
    <w:p>
      <w:pPr>
        <w:ind w:right="26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4" w:lineRule="exact"/>
        <w:rPr>
          <w:sz w:val="24"/>
          <w:szCs w:val="24"/>
          <w:color w:val="auto"/>
        </w:rPr>
      </w:pPr>
    </w:p>
    <w:p>
      <w:pPr>
        <w:spacing w:after="0" w:line="219" w:lineRule="exact"/>
        <w:tabs>
          <w:tab w:leader="none" w:pos="80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3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April 27, 2021, there were 33,457,656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w:t>
            </w:r>
          </w:p>
        </w:tc>
        <w:tc>
          <w:tcPr>
            <w:tcW w:w="9040" w:type="dxa"/>
            <w:vAlign w:val="bottom"/>
            <w:gridSpan w:val="20"/>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640" w:type="dxa"/>
            <w:vAlign w:val="bottom"/>
            <w:vMerge w:val="restart"/>
          </w:tcPr>
          <w:p>
            <w:pPr>
              <w:ind w:lef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40" w:type="dxa"/>
            <w:vAlign w:val="bottom"/>
            <w:gridSpan w:val="20"/>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2"/>
                <w:szCs w:val="22"/>
                <w:color w:val="auto"/>
              </w:rPr>
            </w:pPr>
          </w:p>
        </w:tc>
        <w:tc>
          <w:tcPr>
            <w:tcW w:w="3380" w:type="dxa"/>
            <w:vAlign w:val="bottom"/>
            <w:tcBorders>
              <w:bottom w:val="single" w:sz="8" w:color="0000FF"/>
            </w:tcBorders>
            <w:gridSpan w:val="12"/>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FINANCIAL STATEMENTS (UNAUDITED)</w:t>
              </w:r>
            </w:hyperlink>
          </w:p>
        </w:tc>
        <w:tc>
          <w:tcPr>
            <w:tcW w:w="5660" w:type="dxa"/>
            <w:vAlign w:val="bottom"/>
            <w:gridSpan w:val="8"/>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Balance Sheets as of March 31, 2021 and December 31, 2020</w:t>
              </w:r>
            </w:hyperlink>
          </w:p>
        </w:tc>
        <w:tc>
          <w:tcPr>
            <w:tcW w:w="3400" w:type="dxa"/>
            <w:vAlign w:val="bottom"/>
            <w:gridSpan w:val="5"/>
          </w:tcPr>
          <w:p>
            <w:pPr>
              <w:spacing w:after="0"/>
              <w:rPr>
                <w:sz w:val="18"/>
                <w:szCs w:val="18"/>
                <w:color w:val="auto"/>
              </w:rPr>
            </w:pPr>
          </w:p>
        </w:tc>
        <w:tc>
          <w:tcPr>
            <w:tcW w:w="64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Income for the Three months ended March 31, 2021 and 2020</w:t>
              </w:r>
            </w:hyperlink>
          </w:p>
        </w:tc>
        <w:tc>
          <w:tcPr>
            <w:tcW w:w="640" w:type="dxa"/>
            <w:vAlign w:val="bottom"/>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19"/>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Consolidated Statements of Comprehensive Income/(Loss) for the Three months ended March 31, 2021 and 2020</w:t>
              </w:r>
            </w:hyperlink>
          </w:p>
        </w:tc>
        <w:tc>
          <w:tcPr>
            <w:tcW w:w="640" w:type="dxa"/>
            <w:vAlign w:val="bottom"/>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140" w:type="dxa"/>
            <w:vAlign w:val="bottom"/>
            <w:tcBorders>
              <w:top w:val="single" w:sz="8" w:color="0000FF"/>
            </w:tcBorders>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Equity for the Three months ended March 31, 2021 and 2020</w:t>
              </w:r>
            </w:hyperlink>
          </w:p>
        </w:tc>
        <w:tc>
          <w:tcPr>
            <w:tcW w:w="700" w:type="dxa"/>
            <w:vAlign w:val="bottom"/>
          </w:tcPr>
          <w:p>
            <w:pPr>
              <w:spacing w:after="0"/>
              <w:rPr>
                <w:sz w:val="18"/>
                <w:szCs w:val="18"/>
                <w:color w:val="auto"/>
              </w:rPr>
            </w:pPr>
          </w:p>
        </w:tc>
        <w:tc>
          <w:tcPr>
            <w:tcW w:w="640" w:type="dxa"/>
            <w:vAlign w:val="bottom"/>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4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Cash Flows for the Three months ended March 31, 2021 and 2020</w:t>
              </w:r>
            </w:hyperlink>
          </w:p>
        </w:tc>
        <w:tc>
          <w:tcPr>
            <w:tcW w:w="640" w:type="dxa"/>
            <w:vAlign w:val="bottom"/>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Consolidated Financial Statements</w:t>
              </w:r>
            </w:hyperlink>
          </w:p>
        </w:tc>
        <w:tc>
          <w:tcPr>
            <w:tcW w:w="3640" w:type="dxa"/>
            <w:vAlign w:val="bottom"/>
            <w:tcBorders>
              <w:top w:val="single" w:sz="8" w:color="0000FF"/>
            </w:tcBorders>
            <w:gridSpan w:val="7"/>
          </w:tcPr>
          <w:p>
            <w:pPr>
              <w:spacing w:after="0"/>
              <w:rPr>
                <w:sz w:val="18"/>
                <w:szCs w:val="18"/>
                <w:color w:val="auto"/>
              </w:rPr>
            </w:pPr>
          </w:p>
        </w:tc>
        <w:tc>
          <w:tcPr>
            <w:tcW w:w="2040" w:type="dxa"/>
            <w:vAlign w:val="bottom"/>
            <w:gridSpan w:val="2"/>
          </w:tcPr>
          <w:p>
            <w:pPr>
              <w:spacing w:after="0"/>
              <w:rPr>
                <w:sz w:val="18"/>
                <w:szCs w:val="18"/>
                <w:color w:val="auto"/>
              </w:rPr>
            </w:pPr>
          </w:p>
        </w:tc>
        <w:tc>
          <w:tcPr>
            <w:tcW w:w="640" w:type="dxa"/>
            <w:vAlign w:val="bottom"/>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63"/>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2"/>
                <w:szCs w:val="22"/>
                <w:color w:val="auto"/>
              </w:rPr>
            </w:pPr>
          </w:p>
        </w:tc>
        <w:tc>
          <w:tcPr>
            <w:tcW w:w="9040" w:type="dxa"/>
            <w:vAlign w:val="bottom"/>
            <w:gridSpan w:val="20"/>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Management’s Discussion and Analysis of Financial Condition and Results of Operations</w:t>
              </w:r>
            </w:hyperlink>
          </w:p>
        </w:tc>
        <w:tc>
          <w:tcPr>
            <w:tcW w:w="640" w:type="dxa"/>
            <w:vAlign w:val="bottom"/>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63"/>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2"/>
                <w:szCs w:val="22"/>
                <w:color w:val="auto"/>
              </w:rPr>
            </w:pPr>
          </w:p>
        </w:tc>
        <w:tc>
          <w:tcPr>
            <w:tcW w:w="43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22"/>
                <w:szCs w:val="22"/>
                <w:color w:val="auto"/>
              </w:rPr>
            </w:pPr>
          </w:p>
        </w:tc>
        <w:tc>
          <w:tcPr>
            <w:tcW w:w="2580" w:type="dxa"/>
            <w:vAlign w:val="bottom"/>
            <w:gridSpan w:val="4"/>
          </w:tcPr>
          <w:p>
            <w:pPr>
              <w:spacing w:after="0"/>
              <w:rPr>
                <w:sz w:val="22"/>
                <w:szCs w:val="22"/>
                <w:color w:val="auto"/>
              </w:rPr>
            </w:pPr>
          </w:p>
        </w:tc>
        <w:tc>
          <w:tcPr>
            <w:tcW w:w="640" w:type="dxa"/>
            <w:vAlign w:val="bottom"/>
          </w:tcPr>
          <w:p>
            <w:pPr>
              <w:ind w:left="20"/>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64"/>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2"/>
                <w:szCs w:val="22"/>
                <w:color w:val="auto"/>
              </w:rPr>
            </w:pPr>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49">
              <w:r>
                <w:rPr>
                  <w:rFonts w:ascii="Arial" w:cs="Arial" w:eastAsia="Arial" w:hAnsi="Arial"/>
                  <w:sz w:val="18"/>
                  <w:szCs w:val="18"/>
                  <w:color w:val="0000FF"/>
                  <w:w w:val="88"/>
                </w:rPr>
                <w:t>Controls and Procedures</w:t>
              </w:r>
            </w:hyperlink>
          </w:p>
        </w:tc>
        <w:tc>
          <w:tcPr>
            <w:tcW w:w="7260" w:type="dxa"/>
            <w:vAlign w:val="bottom"/>
            <w:gridSpan w:val="13"/>
          </w:tcPr>
          <w:p>
            <w:pPr>
              <w:spacing w:after="0"/>
              <w:rPr>
                <w:sz w:val="22"/>
                <w:szCs w:val="22"/>
                <w:color w:val="auto"/>
              </w:rPr>
            </w:pPr>
          </w:p>
        </w:tc>
        <w:tc>
          <w:tcPr>
            <w:tcW w:w="640" w:type="dxa"/>
            <w:vAlign w:val="bottom"/>
          </w:tcPr>
          <w:p>
            <w:pPr>
              <w:ind w:lef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40" w:type="dxa"/>
            <w:vAlign w:val="bottom"/>
            <w:gridSpan w:val="2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Part II. Other Information</w:t>
              </w:r>
            </w:hyperlink>
          </w:p>
        </w:tc>
        <w:tc>
          <w:tcPr>
            <w:tcW w:w="640" w:type="dxa"/>
            <w:vAlign w:val="bottom"/>
          </w:tcPr>
          <w:p>
            <w:pPr>
              <w:ind w:lef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63"/>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2"/>
                <w:szCs w:val="22"/>
                <w:color w:val="auto"/>
              </w:rPr>
            </w:pPr>
          </w:p>
        </w:tc>
        <w:tc>
          <w:tcPr>
            <w:tcW w:w="13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49">
              <w:r>
                <w:rPr>
                  <w:rFonts w:ascii="Arial" w:cs="Arial" w:eastAsia="Arial" w:hAnsi="Arial"/>
                  <w:sz w:val="18"/>
                  <w:szCs w:val="18"/>
                  <w:color w:val="0000FF"/>
                  <w:w w:val="88"/>
                </w:rPr>
                <w:t>Legal Proceedings</w:t>
              </w:r>
            </w:hyperlink>
          </w:p>
        </w:tc>
        <w:tc>
          <w:tcPr>
            <w:tcW w:w="520" w:type="dxa"/>
            <w:vAlign w:val="bottom"/>
            <w:tcBorders>
              <w:top w:val="single" w:sz="8" w:color="0000FF"/>
            </w:tcBorders>
            <w:gridSpan w:val="2"/>
          </w:tcPr>
          <w:p>
            <w:pPr>
              <w:spacing w:after="0"/>
              <w:rPr>
                <w:sz w:val="22"/>
                <w:szCs w:val="22"/>
                <w:color w:val="auto"/>
              </w:rPr>
            </w:pPr>
          </w:p>
        </w:tc>
        <w:tc>
          <w:tcPr>
            <w:tcW w:w="7180" w:type="dxa"/>
            <w:vAlign w:val="bottom"/>
            <w:gridSpan w:val="12"/>
          </w:tcPr>
          <w:p>
            <w:pPr>
              <w:spacing w:after="0"/>
              <w:rPr>
                <w:sz w:val="22"/>
                <w:szCs w:val="22"/>
                <w:color w:val="auto"/>
              </w:rPr>
            </w:pPr>
          </w:p>
        </w:tc>
        <w:tc>
          <w:tcPr>
            <w:tcW w:w="640" w:type="dxa"/>
            <w:vAlign w:val="bottom"/>
          </w:tcPr>
          <w:p>
            <w:pPr>
              <w:ind w:lef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1A.</w:t>
            </w:r>
          </w:p>
        </w:tc>
        <w:tc>
          <w:tcPr>
            <w:tcW w:w="9040" w:type="dxa"/>
            <w:vAlign w:val="bottom"/>
            <w:gridSpan w:val="2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Risk Factors</w:t>
              </w:r>
            </w:hyperlink>
          </w:p>
        </w:tc>
        <w:tc>
          <w:tcPr>
            <w:tcW w:w="640" w:type="dxa"/>
            <w:vAlign w:val="bottom"/>
          </w:tcPr>
          <w:p>
            <w:pPr>
              <w:ind w:lef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2"/>
                <w:szCs w:val="22"/>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Unregistered Sales of Equity Securities and Use of Proceeds</w:t>
              </w:r>
            </w:hyperlink>
          </w:p>
        </w:tc>
        <w:tc>
          <w:tcPr>
            <w:tcW w:w="4680" w:type="dxa"/>
            <w:vAlign w:val="bottom"/>
            <w:gridSpan w:val="7"/>
          </w:tcPr>
          <w:p>
            <w:pPr>
              <w:spacing w:after="0"/>
              <w:rPr>
                <w:sz w:val="22"/>
                <w:szCs w:val="22"/>
                <w:color w:val="auto"/>
              </w:rPr>
            </w:pPr>
          </w:p>
        </w:tc>
        <w:tc>
          <w:tcPr>
            <w:tcW w:w="640" w:type="dxa"/>
            <w:vAlign w:val="bottom"/>
          </w:tcPr>
          <w:p>
            <w:pPr>
              <w:ind w:lef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64"/>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2"/>
                <w:szCs w:val="22"/>
                <w:color w:val="auto"/>
              </w:rPr>
            </w:pPr>
          </w:p>
        </w:tc>
        <w:tc>
          <w:tcPr>
            <w:tcW w:w="904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Defaults Upon Senior Securities</w:t>
              </w:r>
            </w:hyperlink>
          </w:p>
        </w:tc>
        <w:tc>
          <w:tcPr>
            <w:tcW w:w="640" w:type="dxa"/>
            <w:vAlign w:val="bottom"/>
          </w:tcPr>
          <w:p>
            <w:pPr>
              <w:ind w:lef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263"/>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2"/>
                <w:szCs w:val="22"/>
                <w:color w:val="auto"/>
              </w:rPr>
            </w:pP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Mine Safety Disclosures</w:t>
              </w:r>
            </w:hyperlink>
          </w:p>
        </w:tc>
        <w:tc>
          <w:tcPr>
            <w:tcW w:w="540" w:type="dxa"/>
            <w:vAlign w:val="bottom"/>
            <w:tcBorders>
              <w:top w:val="single" w:sz="8" w:color="0000FF"/>
            </w:tcBorders>
            <w:gridSpan w:val="3"/>
          </w:tcPr>
          <w:p>
            <w:pPr>
              <w:spacing w:after="0"/>
              <w:rPr>
                <w:sz w:val="22"/>
                <w:szCs w:val="22"/>
                <w:color w:val="auto"/>
              </w:rPr>
            </w:pPr>
          </w:p>
        </w:tc>
        <w:tc>
          <w:tcPr>
            <w:tcW w:w="6720" w:type="dxa"/>
            <w:vAlign w:val="bottom"/>
            <w:gridSpan w:val="10"/>
          </w:tcPr>
          <w:p>
            <w:pPr>
              <w:spacing w:after="0"/>
              <w:rPr>
                <w:sz w:val="22"/>
                <w:szCs w:val="22"/>
                <w:color w:val="auto"/>
              </w:rPr>
            </w:pPr>
          </w:p>
        </w:tc>
        <w:tc>
          <w:tcPr>
            <w:tcW w:w="640" w:type="dxa"/>
            <w:vAlign w:val="bottom"/>
          </w:tcPr>
          <w:p>
            <w:pPr>
              <w:ind w:lef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264"/>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22"/>
                <w:szCs w:val="22"/>
                <w:color w:val="auto"/>
              </w:rPr>
            </w:pPr>
          </w:p>
        </w:tc>
        <w:tc>
          <w:tcPr>
            <w:tcW w:w="13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Other Information</w:t>
              </w:r>
            </w:hyperlink>
          </w:p>
        </w:tc>
        <w:tc>
          <w:tcPr>
            <w:tcW w:w="7720" w:type="dxa"/>
            <w:vAlign w:val="bottom"/>
            <w:gridSpan w:val="15"/>
          </w:tcPr>
          <w:p>
            <w:pPr>
              <w:spacing w:after="0"/>
              <w:rPr>
                <w:sz w:val="22"/>
                <w:szCs w:val="22"/>
                <w:color w:val="auto"/>
              </w:rPr>
            </w:pPr>
          </w:p>
        </w:tc>
        <w:tc>
          <w:tcPr>
            <w:tcW w:w="640" w:type="dxa"/>
            <w:vAlign w:val="bottom"/>
          </w:tcPr>
          <w:p>
            <w:pPr>
              <w:ind w:lef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263"/>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22"/>
                <w:szCs w:val="22"/>
                <w:color w:val="auto"/>
              </w:rPr>
            </w:pPr>
          </w:p>
        </w:tc>
        <w:tc>
          <w:tcPr>
            <w:tcW w:w="904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Exhibits</w:t>
              </w:r>
            </w:hyperlink>
          </w:p>
        </w:tc>
        <w:tc>
          <w:tcPr>
            <w:tcW w:w="640" w:type="dxa"/>
            <w:vAlign w:val="bottom"/>
          </w:tcPr>
          <w:p>
            <w:pPr>
              <w:ind w:left="20"/>
              <w:spacing w:after="0"/>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Signatures</w:t>
              </w:r>
            </w:hyperlink>
          </w:p>
        </w:tc>
        <w:tc>
          <w:tcPr>
            <w:tcW w:w="1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ind w:left="20"/>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4360" w:type="dxa"/>
            <w:vAlign w:val="bottom"/>
            <w:gridSpan w:val="13"/>
          </w:tcPr>
          <w:p>
            <w:pPr>
              <w:ind w:left="40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As of</w:t>
            </w: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39"/>
        </w:trPr>
        <w:tc>
          <w:tcPr>
            <w:tcW w:w="74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218,530</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198,721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184,286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159,296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147,635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11,344</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Advance income tax,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5,684</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37,109</w:t>
            </w:r>
          </w:p>
        </w:tc>
        <w:tc>
          <w:tcPr>
            <w:tcW w:w="0" w:type="dxa"/>
            <w:vAlign w:val="bottom"/>
          </w:tcPr>
          <w:p>
            <w:pPr>
              <w:spacing w:after="0"/>
              <w:rPr>
                <w:sz w:val="1"/>
                <w:szCs w:val="1"/>
                <w:color w:val="auto"/>
              </w:rPr>
            </w:pPr>
          </w:p>
        </w:tc>
      </w:tr>
      <w:tr>
        <w:trPr>
          <w:trHeight w:val="207"/>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596,550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609,278</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92,875</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88,777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91,918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10,657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7,749</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59,594</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349,098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349,088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32,099</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equity affiliate</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0" w:type="dxa"/>
            <w:vAlign w:val="bottom"/>
          </w:tcPr>
          <w:p>
            <w:pPr>
              <w:spacing w:after="0"/>
              <w:rPr>
                <w:sz w:val="1"/>
                <w:szCs w:val="1"/>
                <w:color w:val="auto"/>
              </w:rPr>
            </w:pP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1,226,366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1,247,857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8,304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6,992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borrowings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14,764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32,649</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employee costs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67,645</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73,241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66,410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18,894</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taxes payable, net</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3,488</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197,720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221,078</w:t>
            </w:r>
          </w:p>
        </w:tc>
        <w:tc>
          <w:tcPr>
            <w:tcW w:w="0" w:type="dxa"/>
            <w:vAlign w:val="bottom"/>
          </w:tcPr>
          <w:p>
            <w:pPr>
              <w:spacing w:after="0"/>
              <w:rPr>
                <w:sz w:val="1"/>
                <w:szCs w:val="1"/>
                <w:color w:val="auto"/>
              </w:rPr>
            </w:pPr>
          </w:p>
        </w:tc>
      </w:tr>
      <w:tr>
        <w:trPr>
          <w:trHeight w:val="206"/>
        </w:trPr>
        <w:tc>
          <w:tcPr>
            <w:tcW w:w="7400" w:type="dxa"/>
            <w:vAlign w:val="bottom"/>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202,687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201,961</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84,874</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1,790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18,135</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500,141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528,685</w:t>
            </w:r>
          </w:p>
        </w:tc>
        <w:tc>
          <w:tcPr>
            <w:tcW w:w="0" w:type="dxa"/>
            <w:vAlign w:val="bottom"/>
          </w:tcPr>
          <w:p>
            <w:pPr>
              <w:spacing w:after="0"/>
              <w:rPr>
                <w:sz w:val="1"/>
                <w:szCs w:val="1"/>
                <w:color w:val="auto"/>
              </w:rPr>
            </w:pPr>
          </w:p>
        </w:tc>
      </w:tr>
      <w:tr>
        <w:trPr>
          <w:trHeight w:val="193"/>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 (Refer to Note 24)</w:t>
            </w: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0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rPr>
              <w:t>Common stock, $0.001 par value; 100,000,000 shares authorized, 39,273,989 shares issued and</w:t>
            </w: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CEEFF"/>
          </w:tcPr>
          <w:p>
            <w:pPr>
              <w:ind w:left="340"/>
              <w:spacing w:after="0" w:line="162" w:lineRule="exact"/>
              <w:rPr>
                <w:sz w:val="20"/>
                <w:szCs w:val="20"/>
                <w:color w:val="auto"/>
              </w:rPr>
            </w:pPr>
            <w:r>
              <w:rPr>
                <w:rFonts w:ascii="Arial" w:cs="Arial" w:eastAsia="Arial" w:hAnsi="Arial"/>
                <w:sz w:val="16"/>
                <w:szCs w:val="16"/>
                <w:color w:val="auto"/>
                <w:w w:val="92"/>
              </w:rPr>
              <w:t>33,526,889 shares outstanding as of March 31, 2021 and 38,968,052 shares issued and 33,559,434 shares</w:t>
            </w:r>
          </w:p>
        </w:tc>
        <w:tc>
          <w:tcPr>
            <w:tcW w:w="2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outstanding as of December 31, 2020</w:t>
            </w:r>
          </w:p>
        </w:tc>
        <w:tc>
          <w:tcPr>
            <w:tcW w:w="2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428,882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420,976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641,379</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(78,753)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(74,984)</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1,023,478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987,410</w:t>
            </w:r>
          </w:p>
        </w:tc>
        <w:tc>
          <w:tcPr>
            <w:tcW w:w="0" w:type="dxa"/>
            <w:vAlign w:val="bottom"/>
          </w:tcPr>
          <w:p>
            <w:pPr>
              <w:spacing w:after="0"/>
              <w:rPr>
                <w:sz w:val="1"/>
                <w:szCs w:val="1"/>
                <w:color w:val="auto"/>
              </w:rPr>
            </w:pPr>
          </w:p>
        </w:tc>
      </w:tr>
      <w:tr>
        <w:trPr>
          <w:trHeight w:val="146"/>
        </w:trPr>
        <w:tc>
          <w:tcPr>
            <w:tcW w:w="7400" w:type="dxa"/>
            <w:vAlign w:val="bottom"/>
          </w:tcPr>
          <w:p>
            <w:pPr>
              <w:ind w:left="20"/>
              <w:spacing w:after="0" w:line="146" w:lineRule="exact"/>
              <w:rPr>
                <w:sz w:val="20"/>
                <w:szCs w:val="20"/>
                <w:color w:val="auto"/>
              </w:rPr>
            </w:pPr>
            <w:r>
              <w:rPr>
                <w:rFonts w:ascii="Arial" w:cs="Arial" w:eastAsia="Arial" w:hAnsi="Arial"/>
                <w:sz w:val="16"/>
                <w:szCs w:val="16"/>
                <w:color w:val="auto"/>
                <w:w w:val="91"/>
              </w:rPr>
              <w:t>Less: 5,747,100 shares as of March 31, 2021 and 5,408,618 shares as of December 31, 2020, held in treasury, at</w:t>
            </w:r>
          </w:p>
        </w:tc>
        <w:tc>
          <w:tcPr>
            <w:tcW w:w="6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(297,253)</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(268,238)</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726,225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719,172</w:t>
            </w:r>
          </w:p>
        </w:tc>
        <w:tc>
          <w:tcPr>
            <w:tcW w:w="0" w:type="dxa"/>
            <w:vAlign w:val="bottom"/>
          </w:tcPr>
          <w:p>
            <w:pPr>
              <w:spacing w:after="0"/>
              <w:rPr>
                <w:sz w:val="1"/>
                <w:szCs w:val="1"/>
                <w:color w:val="auto"/>
              </w:rPr>
            </w:pPr>
          </w:p>
        </w:tc>
      </w:tr>
      <w:tr>
        <w:trPr>
          <w:trHeight w:val="34"/>
        </w:trPr>
        <w:tc>
          <w:tcPr>
            <w:tcW w:w="7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726,225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719,172</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1,226,366</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1,247,857</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4"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7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261,415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245,990</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158,821</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162,656</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spacing w:after="0" w:line="223"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102,594</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83,334</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28,941</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18,235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14,456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55,847</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41,555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27,487</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Foreign exchange gain,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expense and earnings from equity affiliates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40,925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28,321</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31,967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22,466</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equity-method investment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31,931</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22,411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share attributable to ExlService Holdings, Inc.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7440" w:type="dxa"/>
            <w:vAlign w:val="bottom"/>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0.93</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75"/>
        </w:trPr>
        <w:tc>
          <w:tcPr>
            <w:tcW w:w="7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Weighted-average number of shares used in computing earnings per share attributable to ExlService</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Holdings Inc. stockholders: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33,734,118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34,401,565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34,318,318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34,720,603</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CONSOLIDATED STATEMENTS OF COMPREHENSIVE INCOME / (LOSS)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4"/>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22,411</w:t>
            </w:r>
          </w:p>
        </w:tc>
      </w:tr>
      <w:tr>
        <w:trPr>
          <w:trHeight w:val="213"/>
        </w:trPr>
        <w:tc>
          <w:tcPr>
            <w:tcW w:w="79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income/(loss):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gain/(loss) on cash flow hedges</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w:t>
            </w:r>
          </w:p>
        </w:tc>
      </w:tr>
      <w:tr>
        <w:trPr>
          <w:trHeight w:val="230"/>
        </w:trPr>
        <w:tc>
          <w:tcPr>
            <w:tcW w:w="7940" w:type="dxa"/>
            <w:vAlign w:val="bottom"/>
          </w:tcPr>
          <w:p>
            <w:pPr>
              <w:ind w:left="340"/>
              <w:spacing w:after="0"/>
              <w:rPr>
                <w:sz w:val="20"/>
                <w:szCs w:val="20"/>
                <w:color w:val="auto"/>
              </w:rPr>
            </w:pPr>
            <w:r>
              <w:rPr>
                <w:rFonts w:ascii="Arial" w:cs="Arial" w:eastAsia="Arial" w:hAnsi="Arial"/>
                <w:sz w:val="16"/>
                <w:szCs w:val="16"/>
                <w:color w:val="auto"/>
              </w:rPr>
              <w:t>Foreign currency translation loss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(21,571)</w:t>
            </w:r>
          </w:p>
        </w:tc>
      </w:tr>
      <w:tr>
        <w:trPr>
          <w:trHeight w:val="216"/>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Reclassification adjustments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7940" w:type="dxa"/>
            <w:vAlign w:val="bottom"/>
          </w:tcPr>
          <w:p>
            <w:pPr>
              <w:ind w:left="340"/>
              <w:spacing w:after="0" w:line="230" w:lineRule="exact"/>
              <w:rPr>
                <w:sz w:val="20"/>
                <w:szCs w:val="20"/>
                <w:color w:val="auto"/>
              </w:rPr>
            </w:pPr>
            <w:r>
              <w:rPr>
                <w:rFonts w:ascii="Arial" w:cs="Arial" w:eastAsia="Arial" w:hAnsi="Arial"/>
                <w:sz w:val="16"/>
                <w:szCs w:val="16"/>
                <w:color w:val="auto"/>
              </w:rPr>
              <w:t>Gain on cash flow hedges</w:t>
            </w:r>
            <w:r>
              <w:rPr>
                <w:rFonts w:ascii="Arial" w:cs="Arial" w:eastAsia="Arial" w:hAnsi="Arial"/>
                <w:sz w:val="21"/>
                <w:szCs w:val="21"/>
                <w:color w:val="auto"/>
                <w:vertAlign w:val="superscript"/>
              </w:rPr>
              <w:t>(1)</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30"/>
        </w:trPr>
        <w:tc>
          <w:tcPr>
            <w:tcW w:w="7940" w:type="dxa"/>
            <w:vAlign w:val="bottom"/>
            <w:shd w:val="clear" w:color="auto" w:fill="CCEEFF"/>
          </w:tcPr>
          <w:p>
            <w:pPr>
              <w:ind w:left="340"/>
              <w:spacing w:after="0" w:line="230" w:lineRule="exact"/>
              <w:rPr>
                <w:sz w:val="20"/>
                <w:szCs w:val="20"/>
                <w:color w:val="auto"/>
              </w:rPr>
            </w:pPr>
            <w:r>
              <w:rPr>
                <w:rFonts w:ascii="Arial" w:cs="Arial" w:eastAsia="Arial" w:hAnsi="Arial"/>
                <w:sz w:val="16"/>
                <w:szCs w:val="16"/>
                <w:color w:val="auto"/>
              </w:rPr>
              <w:t>Retirement benefits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9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6"/>
                <w:szCs w:val="16"/>
                <w:color w:val="auto"/>
              </w:rPr>
              <w:t>Income tax effects relating to above</w:t>
            </w:r>
            <w:r>
              <w:rPr>
                <w:rFonts w:ascii="Arial" w:cs="Arial" w:eastAsia="Arial" w:hAnsi="Arial"/>
                <w:sz w:val="21"/>
                <w:szCs w:val="21"/>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9,033</w:t>
            </w:r>
          </w:p>
        </w:tc>
      </w:tr>
      <w:tr>
        <w:trPr>
          <w:trHeight w:val="223"/>
        </w:trPr>
        <w:tc>
          <w:tcPr>
            <w:tcW w:w="794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Total other 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(28,212)</w:t>
            </w:r>
          </w:p>
        </w:tc>
      </w:tr>
      <w:tr>
        <w:trPr>
          <w:trHeight w:val="223"/>
        </w:trPr>
        <w:tc>
          <w:tcPr>
            <w:tcW w:w="7940" w:type="dxa"/>
            <w:vAlign w:val="bottom"/>
          </w:tcPr>
          <w:p>
            <w:pPr>
              <w:spacing w:after="0"/>
              <w:rPr>
                <w:sz w:val="20"/>
                <w:szCs w:val="20"/>
                <w:color w:val="auto"/>
              </w:rPr>
            </w:pPr>
            <w:r>
              <w:rPr>
                <w:rFonts w:ascii="Arial" w:cs="Arial" w:eastAsia="Arial" w:hAnsi="Arial"/>
                <w:sz w:val="16"/>
                <w:szCs w:val="16"/>
                <w:b w:val="1"/>
                <w:bCs w:val="1"/>
                <w:color w:val="auto"/>
              </w:rPr>
              <w:t>Total comprehensive income/(loss)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(5,801)</w:t>
            </w:r>
          </w:p>
        </w:tc>
      </w:tr>
      <w:tr>
        <w:trPr>
          <w:trHeight w:val="21"/>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580" w:hanging="572"/>
        <w:spacing w:after="0" w:line="258"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either in cost of revenues or operating expenses, as applicable in the unaudited consolidated statements of income. Refer to Note 16 - Derivatives and Hedge Accounting to the unaudited consolidated financial statements.</w:t>
      </w:r>
    </w:p>
    <w:p>
      <w:pPr>
        <w:spacing w:after="0" w:line="198" w:lineRule="exact"/>
        <w:rPr>
          <w:rFonts w:ascii="Arial" w:cs="Arial" w:eastAsia="Arial" w:hAnsi="Arial"/>
          <w:sz w:val="16"/>
          <w:szCs w:val="16"/>
          <w:i w:val="1"/>
          <w:iCs w:val="1"/>
          <w:color w:val="auto"/>
        </w:rPr>
      </w:pPr>
    </w:p>
    <w:p>
      <w:pPr>
        <w:ind w:left="580" w:right="20" w:hanging="572"/>
        <w:spacing w:after="0" w:line="258"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other income, net in the unaudited consolidated statements of income. Refer to Note 19 - Employee Benefit Plans to the unaudited consolidated financial statements.</w:t>
      </w:r>
    </w:p>
    <w:p>
      <w:pPr>
        <w:spacing w:after="0" w:line="198" w:lineRule="exact"/>
        <w:rPr>
          <w:rFonts w:ascii="Arial" w:cs="Arial" w:eastAsia="Arial" w:hAnsi="Arial"/>
          <w:sz w:val="16"/>
          <w:szCs w:val="16"/>
          <w:i w:val="1"/>
          <w:iCs w:val="1"/>
          <w:color w:val="auto"/>
        </w:rPr>
      </w:pPr>
    </w:p>
    <w:p>
      <w:pPr>
        <w:ind w:left="580" w:hanging="572"/>
        <w:spacing w:after="0" w:line="258"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income tax effects recognized on cash flow hedges, retirement benefits and foreign currency translation gains/(losses). Refer to Note 21 -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960" w:type="dxa"/>
            <w:vAlign w:val="bottom"/>
            <w:gridSpan w:val="5"/>
          </w:tcPr>
          <w:p>
            <w:pPr>
              <w:ind w:left="460"/>
              <w:spacing w:after="0"/>
              <w:rPr>
                <w:sz w:val="20"/>
                <w:szCs w:val="20"/>
                <w:color w:val="auto"/>
              </w:rPr>
            </w:pPr>
            <w:r>
              <w:rPr>
                <w:rFonts w:ascii="Arial" w:cs="Arial" w:eastAsia="Arial" w:hAnsi="Arial"/>
                <w:sz w:val="14"/>
                <w:szCs w:val="14"/>
                <w:b w:val="1"/>
                <w:bCs w:val="1"/>
                <w:color w:val="auto"/>
              </w:rPr>
              <w:t>Treasury Stock</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tcPr>
          <w:p>
            <w:pPr>
              <w:jc w:val="center"/>
              <w:ind w:right="220"/>
              <w:spacing w:after="0" w:line="68" w:lineRule="exact"/>
              <w:rPr>
                <w:sz w:val="20"/>
                <w:szCs w:val="20"/>
                <w:color w:val="auto"/>
              </w:rPr>
            </w:pPr>
            <w:r>
              <w:rPr>
                <w:rFonts w:ascii="Arial" w:cs="Arial" w:eastAsia="Arial" w:hAnsi="Arial"/>
                <w:sz w:val="7"/>
                <w:szCs w:val="7"/>
                <w:b w:val="1"/>
                <w:bCs w:val="1"/>
                <w:color w:val="auto"/>
              </w:rPr>
              <w:t>Paid-in</w:t>
            </w:r>
          </w:p>
        </w:tc>
        <w:tc>
          <w:tcPr>
            <w:tcW w:w="120" w:type="dxa"/>
            <w:vAlign w:val="bottom"/>
          </w:tcPr>
          <w:p>
            <w:pPr>
              <w:spacing w:after="0"/>
              <w:rPr>
                <w:sz w:val="5"/>
                <w:szCs w:val="5"/>
                <w:color w:val="auto"/>
              </w:rPr>
            </w:pPr>
          </w:p>
        </w:tc>
        <w:tc>
          <w:tcPr>
            <w:tcW w:w="820" w:type="dxa"/>
            <w:vAlign w:val="bottom"/>
            <w:gridSpan w:val="2"/>
            <w:vMerge w:val="restart"/>
          </w:tcPr>
          <w:p>
            <w:pPr>
              <w:ind w:left="20"/>
              <w:spacing w:after="0" w:line="115"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5"/>
                <w:szCs w:val="5"/>
                <w:color w:val="auto"/>
              </w:rPr>
            </w:pPr>
          </w:p>
        </w:tc>
        <w:tc>
          <w:tcPr>
            <w:tcW w:w="1280" w:type="dxa"/>
            <w:vAlign w:val="bottom"/>
            <w:gridSpan w:val="2"/>
          </w:tcPr>
          <w:p>
            <w:pPr>
              <w:jc w:val="center"/>
              <w:ind w:right="240"/>
              <w:spacing w:after="0" w:line="68" w:lineRule="exact"/>
              <w:rPr>
                <w:sz w:val="20"/>
                <w:szCs w:val="20"/>
                <w:color w:val="auto"/>
              </w:rPr>
            </w:pPr>
            <w:r>
              <w:rPr>
                <w:rFonts w:ascii="Arial" w:cs="Arial" w:eastAsia="Arial" w:hAnsi="Arial"/>
                <w:sz w:val="7"/>
                <w:szCs w:val="7"/>
                <w:b w:val="1"/>
                <w:bCs w:val="1"/>
                <w:color w:val="auto"/>
              </w:rPr>
              <w:t>Comprehensive</w:t>
            </w: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120" w:type="dxa"/>
            <w:vAlign w:val="bottom"/>
          </w:tcPr>
          <w:p>
            <w:pPr>
              <w:spacing w:after="0"/>
              <w:rPr>
                <w:sz w:val="8"/>
                <w:szCs w:val="8"/>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8"/>
                <w:szCs w:val="8"/>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2021</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38,968,052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420,976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641,379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(74,984)</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(5,408,618)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(268,238)</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719,172</w:t>
            </w: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Arial" w:cs="Arial" w:eastAsia="Arial" w:hAnsi="Arial"/>
                <w:sz w:val="14"/>
                <w:szCs w:val="14"/>
                <w:color w:val="auto"/>
                <w:w w:val="91"/>
              </w:rPr>
              <w:t>Stock issued against stock-based compensation plans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305,937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7,832</w:t>
            </w: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(338,482)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(29,015)</w:t>
            </w: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(3,769)</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(3,769)</w:t>
            </w: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31,931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31,931</w:t>
            </w:r>
          </w:p>
        </w:tc>
        <w:tc>
          <w:tcPr>
            <w:tcW w:w="0" w:type="dxa"/>
            <w:vAlign w:val="bottom"/>
          </w:tcPr>
          <w:p>
            <w:pPr>
              <w:spacing w:after="0"/>
              <w:rPr>
                <w:sz w:val="1"/>
                <w:szCs w:val="1"/>
                <w:color w:val="auto"/>
              </w:rPr>
            </w:pPr>
          </w:p>
        </w:tc>
      </w:tr>
      <w:tr>
        <w:trPr>
          <w:trHeight w:val="211"/>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39,273,989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428,882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673,310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(78,753)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(5,747,100)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(297,253)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726,225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90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980" w:type="dxa"/>
            <w:vAlign w:val="bottom"/>
            <w:gridSpan w:val="5"/>
          </w:tcPr>
          <w:p>
            <w:pPr>
              <w:ind w:left="46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vMerge w:val="restart"/>
          </w:tcPr>
          <w:p>
            <w:pPr>
              <w:jc w:val="right"/>
              <w:ind w:right="268"/>
              <w:spacing w:after="0" w:line="135" w:lineRule="exact"/>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Earnings</w:t>
            </w: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Comprehensive Loss</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440" w:type="dxa"/>
            <w:vAlign w:val="bottom"/>
            <w:gridSpan w:val="3"/>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00" w:type="dxa"/>
            <w:vAlign w:val="bottom"/>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5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5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38,480,654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391,240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551,903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(84,892)</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(4,295,413)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(188,289)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670,001</w:t>
            </w: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4"/>
                <w:szCs w:val="14"/>
                <w:color w:val="auto"/>
              </w:rPr>
              <w:t>Stock issued against stock-based</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333,121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4,778</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(202,366)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(13,995)</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(28,212)</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(28,212)</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22,411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22,411</w:t>
            </w:r>
          </w:p>
        </w:tc>
        <w:tc>
          <w:tcPr>
            <w:tcW w:w="0" w:type="dxa"/>
            <w:vAlign w:val="bottom"/>
          </w:tcPr>
          <w:p>
            <w:pPr>
              <w:spacing w:after="0"/>
              <w:rPr>
                <w:sz w:val="1"/>
                <w:szCs w:val="1"/>
                <w:color w:val="auto"/>
              </w:rPr>
            </w:pPr>
          </w:p>
        </w:tc>
      </w:tr>
      <w:tr>
        <w:trPr>
          <w:trHeight w:val="211"/>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38,813,775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396,939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574,314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(113,104)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(4,497,779)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(202,284)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655,904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87"/>
        </w:trPr>
        <w:tc>
          <w:tcPr>
            <w:tcW w:w="77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31,931</w:t>
            </w:r>
          </w:p>
        </w:tc>
        <w:tc>
          <w:tcPr>
            <w:tcW w:w="10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22,411</w:t>
            </w: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 (used for) operating activities: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Depreciation and amortization expense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12,266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12,472</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4,778</w:t>
            </w: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Amortization of operating lease right-of-use assets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6,761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6,853</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Unrealized (gain) / loss on short term investments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Unrealized foreign exchange (gain), net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(6,490)</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 (benefit)/expense</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w:t>
            </w: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Allowance for expected credit losses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from equity-method investment</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Amortization of non-cash interest expense related to convertible senior notes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635</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Others, net</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6"/>
        </w:trPr>
        <w:tc>
          <w:tcPr>
            <w:tcW w:w="7700" w:type="dxa"/>
            <w:vAlign w:val="bottom"/>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(17,518)</w:t>
            </w: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(1,871)</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Advance income tax, net</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1,268</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925</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(17,986)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2,579</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employee costs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(37,046)</w:t>
            </w: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8,456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972</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1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(6,868)</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(6,576)</w:t>
            </w:r>
          </w:p>
        </w:tc>
      </w:tr>
      <w:tr>
        <w:trPr>
          <w:trHeight w:val="17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for) operating activities</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15,205</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(13,555)</w:t>
            </w:r>
          </w:p>
        </w:tc>
      </w:tr>
      <w:tr>
        <w:trPr>
          <w:trHeight w:val="91"/>
        </w:trPr>
        <w:tc>
          <w:tcPr>
            <w:tcW w:w="77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property and equipment</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(12,347)</w:t>
            </w: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Proceeds from sale of property and equipment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Investment in equity affiliate</w:t>
            </w:r>
          </w:p>
        </w:tc>
        <w:tc>
          <w:tcPr>
            <w:tcW w:w="1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Purchase of investments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(18,835)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(23,830)</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redemption of investments</w:t>
            </w:r>
          </w:p>
        </w:tc>
        <w:tc>
          <w:tcPr>
            <w:tcW w:w="1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5,357</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72,844</w:t>
            </w:r>
          </w:p>
        </w:tc>
      </w:tr>
      <w:tr>
        <w:trPr>
          <w:trHeight w:val="179"/>
        </w:trPr>
        <w:tc>
          <w:tcPr>
            <w:tcW w:w="7700" w:type="dxa"/>
            <w:vAlign w:val="bottom"/>
          </w:tcPr>
          <w:p>
            <w:pPr>
              <w:ind w:left="20"/>
              <w:spacing w:after="0"/>
              <w:rPr>
                <w:sz w:val="20"/>
                <w:szCs w:val="20"/>
                <w:color w:val="auto"/>
              </w:rPr>
            </w:pPr>
            <w:r>
              <w:rPr>
                <w:rFonts w:ascii="Arial" w:cs="Arial" w:eastAsia="Arial" w:hAnsi="Arial"/>
                <w:sz w:val="14"/>
                <w:szCs w:val="14"/>
                <w:color w:val="auto"/>
              </w:rPr>
              <w:t>Net cash (used for) /provided by investing activities</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(26,029)</w:t>
            </w: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36,040</w:t>
            </w:r>
          </w:p>
        </w:tc>
      </w:tr>
      <w:tr>
        <w:trPr>
          <w:trHeight w:val="37"/>
        </w:trPr>
        <w:tc>
          <w:tcPr>
            <w:tcW w:w="7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89"/>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Principal payments of finance lease liabilities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borrowings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110,000</w:t>
            </w: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Repayments of borrowings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(10,201)</w:t>
            </w: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Acquisition of treasury stock</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(13,995)</w:t>
            </w:r>
          </w:p>
        </w:tc>
      </w:tr>
      <w:tr>
        <w:trPr>
          <w:trHeight w:val="186"/>
        </w:trPr>
        <w:tc>
          <w:tcPr>
            <w:tcW w:w="77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Proceeds from exercise of stock options</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w:t>
            </w:r>
          </w:p>
        </w:tc>
      </w:tr>
      <w:tr>
        <w:trPr>
          <w:trHeight w:val="18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for)/provided by financing activities</w:t>
            </w:r>
          </w:p>
        </w:tc>
        <w:tc>
          <w:tcPr>
            <w:tcW w:w="1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(28,997)</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86,658</w:t>
            </w:r>
          </w:p>
        </w:tc>
      </w:tr>
      <w:tr>
        <w:trPr>
          <w:trHeight w:val="17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(2,653)</w:t>
            </w:r>
          </w:p>
        </w:tc>
      </w:tr>
      <w:tr>
        <w:trPr>
          <w:trHeight w:val="18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(decrease)/increase in cash, cash equivalents and restricted cash</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106,490</w:t>
            </w:r>
          </w:p>
        </w:tc>
      </w:tr>
      <w:tr>
        <w:trPr>
          <w:trHeight w:val="18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the beginning of the period</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225,519</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127,044</w:t>
            </w:r>
          </w:p>
        </w:tc>
      </w:tr>
      <w:tr>
        <w:trPr>
          <w:trHeight w:val="18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the end of the period</w:t>
            </w: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184,714</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233,534</w:t>
            </w:r>
          </w:p>
        </w:tc>
      </w:tr>
      <w:tr>
        <w:trPr>
          <w:trHeight w:val="34"/>
        </w:trPr>
        <w:tc>
          <w:tcPr>
            <w:tcW w:w="7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9"/>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4"/>
                <w:szCs w:val="14"/>
                <w:color w:val="auto"/>
              </w:rPr>
              <w:t>Cash paid during the period for:</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1100" w:type="dxa"/>
            <w:vAlign w:val="bottom"/>
            <w:shd w:val="clear" w:color="auto" w:fill="BFE4FF"/>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BFE4FF"/>
          </w:tcPr>
          <w:p>
            <w:pPr>
              <w:spacing w:after="0"/>
              <w:rPr>
                <w:sz w:val="16"/>
                <w:szCs w:val="16"/>
                <w:color w:val="auto"/>
              </w:rPr>
            </w:pPr>
          </w:p>
        </w:tc>
        <w:tc>
          <w:tcPr>
            <w:tcW w:w="1100" w:type="dxa"/>
            <w:vAlign w:val="bottom"/>
            <w:shd w:val="clear" w:color="auto" w:fill="BFE4FF"/>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775</w:t>
            </w:r>
          </w:p>
        </w:tc>
      </w:tr>
      <w:tr>
        <w:trPr>
          <w:trHeight w:val="186"/>
        </w:trPr>
        <w:tc>
          <w:tcPr>
            <w:tcW w:w="7700" w:type="dxa"/>
            <w:vAlign w:val="bottom"/>
          </w:tcPr>
          <w:p>
            <w:pPr>
              <w:ind w:left="20"/>
              <w:spacing w:after="0"/>
              <w:rPr>
                <w:sz w:val="20"/>
                <w:szCs w:val="20"/>
                <w:color w:val="auto"/>
              </w:rPr>
            </w:pPr>
            <w:r>
              <w:rPr>
                <w:rFonts w:ascii="Arial" w:cs="Arial" w:eastAsia="Arial" w:hAnsi="Arial"/>
                <w:sz w:val="14"/>
                <w:szCs w:val="14"/>
                <w:color w:val="auto"/>
              </w:rPr>
              <w:t>Income taxes, net of refunds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2,415</w:t>
            </w:r>
          </w:p>
        </w:tc>
        <w:tc>
          <w:tcPr>
            <w:tcW w:w="10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2,646</w:t>
            </w: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82"/>
        </w:trPr>
        <w:tc>
          <w:tcPr>
            <w:tcW w:w="7700" w:type="dxa"/>
            <w:vAlign w:val="bottom"/>
          </w:tcPr>
          <w:p>
            <w:pPr>
              <w:ind w:left="20"/>
              <w:spacing w:after="0"/>
              <w:rPr>
                <w:sz w:val="20"/>
                <w:szCs w:val="20"/>
                <w:color w:val="auto"/>
              </w:rPr>
            </w:pPr>
            <w:r>
              <w:rPr>
                <w:rFonts w:ascii="Arial" w:cs="Arial" w:eastAsia="Arial" w:hAnsi="Arial"/>
                <w:sz w:val="14"/>
                <w:szCs w:val="14"/>
                <w:color w:val="auto"/>
              </w:rPr>
              <w:t>Assets acquired under finance lease</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43" w:lineRule="exact"/>
        <w:rPr>
          <w:sz w:val="20"/>
          <w:szCs w:val="20"/>
          <w:color w:val="auto"/>
        </w:rPr>
      </w:pPr>
    </w:p>
    <w:p>
      <w:pPr>
        <w:jc w:val="both"/>
        <w:ind w:firstLine="405"/>
        <w:spacing w:after="0" w:line="226" w:lineRule="auto"/>
        <w:rPr>
          <w:sz w:val="20"/>
          <w:szCs w:val="20"/>
          <w:color w:val="auto"/>
        </w:rPr>
      </w:pPr>
      <w:r>
        <w:rPr>
          <w:rFonts w:ascii="Arial" w:cs="Arial" w:eastAsia="Arial" w:hAnsi="Arial"/>
          <w:sz w:val="17"/>
          <w:szCs w:val="17"/>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helps its clients build and grow sustainable businesses. By orchestrating its domain expertise, data, analytics and digital technology, the Company looks deeper to design and manage agile, customer-centric operating models to improve global operations, drive profitability, enhance customer satisfaction, increase data-driven insights, and manage risk and compliance. The Company’s clients are located principally in the United States of America (“U.S.”) and the United Kingdom (“U.K.”).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252"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2020.</w:t>
      </w:r>
    </w:p>
    <w:p>
      <w:pPr>
        <w:spacing w:after="0" w:line="169" w:lineRule="exact"/>
        <w:rPr>
          <w:sz w:val="20"/>
          <w:szCs w:val="20"/>
          <w:color w:val="auto"/>
        </w:rPr>
      </w:pPr>
    </w:p>
    <w:p>
      <w:pPr>
        <w:jc w:val="both"/>
        <w:ind w:firstLine="405"/>
        <w:spacing w:after="0" w:line="224" w:lineRule="auto"/>
        <w:rPr>
          <w:sz w:val="20"/>
          <w:szCs w:val="20"/>
          <w:color w:val="auto"/>
        </w:rPr>
      </w:pPr>
      <w:r>
        <w:rPr>
          <w:rFonts w:ascii="Arial" w:cs="Arial" w:eastAsia="Arial" w:hAnsi="Arial"/>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03"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95" w:lineRule="exact"/>
        <w:rPr>
          <w:sz w:val="20"/>
          <w:szCs w:val="20"/>
          <w:color w:val="auto"/>
        </w:rPr>
      </w:pPr>
    </w:p>
    <w:p>
      <w:pPr>
        <w:jc w:val="both"/>
        <w:ind w:right="20" w:firstLine="405"/>
        <w:spacing w:after="0" w:line="235" w:lineRule="auto"/>
        <w:rPr>
          <w:sz w:val="20"/>
          <w:szCs w:val="20"/>
          <w:color w:val="auto"/>
        </w:rPr>
      </w:pPr>
      <w:r>
        <w:rPr>
          <w:rFonts w:ascii="Arial" w:cs="Arial" w:eastAsia="Arial" w:hAnsi="Arial"/>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20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unaudited consolidated financial statements include, but are not limited to, allowance for expected credit losses,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amortization of ROU, depreciation and amortization periods, purchase price allocation and recoverability of long-lived assets, goodwill and intangibles.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As of March 31, 2021, the extent to which the global Coronavirus Disease 2019 pandemic (“COVID-19”) will ultimately impact the Company's business depends on numerous dynamic factors, which the Company still cannot reliably predict. As a result, many of the Company's estimates and assumptions herein required increased judgment and carry a higher degree of variability and volatility. As events continue to evolve with respect to COVID-19, the Company’s estimates may materially change in future periods. Any changes in estimates are adjusted prospectively in the Company’s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Recent Accounting Pronouncements</w:t>
      </w:r>
    </w:p>
    <w:p>
      <w:pPr>
        <w:spacing w:after="0" w:line="25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January 2021, Financial Accounting Standard Board (“FASB”) issued Accounting Standard Update (“ASU”) No. 2021-01,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848): Scope</w:t>
      </w:r>
      <w:r>
        <w:rPr>
          <w:rFonts w:ascii="Arial" w:cs="Arial" w:eastAsia="Arial" w:hAnsi="Arial"/>
          <w:sz w:val="18"/>
          <w:szCs w:val="18"/>
          <w:color w:val="auto"/>
        </w:rPr>
        <w:t>, to clarify that all derivative instruments affected by changes to the interest rates used for discounting, margining or contract price</w:t>
      </w:r>
      <w:r>
        <w:rPr>
          <w:rFonts w:ascii="Arial" w:cs="Arial" w:eastAsia="Arial" w:hAnsi="Arial"/>
          <w:sz w:val="18"/>
          <w:szCs w:val="18"/>
          <w:i w:val="1"/>
          <w:iCs w:val="1"/>
          <w:color w:val="auto"/>
        </w:rPr>
        <w:t xml:space="preserve"> </w:t>
      </w:r>
      <w:r>
        <w:rPr>
          <w:rFonts w:ascii="Arial" w:cs="Arial" w:eastAsia="Arial" w:hAnsi="Arial"/>
          <w:sz w:val="18"/>
          <w:szCs w:val="18"/>
          <w:color w:val="auto"/>
        </w:rPr>
        <w:t>alignment (commonly referred to as the discounting transition) are within the scope of Accounting Standard Codification (“ASC”) 848. The amendments in this ASU further clarify that certain optional expedients and exceptions for contract modifications and hedge accounting apply to derivative instruments that use an interest rate for margining, discounting, or contract price alignment that is modified as a result of the discontinuation of the use of LIBOR as a benchmark interest rate due to reference rate reform. This ASU is effective immediately for all entities with the option to be applied retrospectively as of any date from the beginning of an interim period that includes or is subsequent to March 12, 2020, and prospectively to any new contract modifications made on or after January 7, 2021 through December 31, 2022. The Company is currently evaluating the impact of this ASU on its consolidated financial statements.</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2020,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This ASU provides optional guidance for a limited period of time to ease potential accounting impacts associated with transitioning away from</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rates that are expected to be discontinued, such as interbank offered rates and London Inter-Bank Offered Rate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The Company is currently evaluating the impact of this ASU on its consolidated financial statements.</w:t>
      </w:r>
    </w:p>
    <w:p>
      <w:pPr>
        <w:spacing w:after="0" w:line="20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 xml:space="preserve">In August 2020, FASB issued ASU No.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This ASU simplifies the accounting for certain financial instruments with characteristics of liabilities and equity, including convertible instruments and contracts on an entity’s own equity. The ASU removes separation models for (1) convertible debt with a cash conversion feature and (2) convertible instruments with a beneficial conversion feature and hence most of the instruments will be accounted for as a single model (either debt or equity). The ASU also states that entities must apply the if-converted method to all convertible instruments for calculation of diluted EPS and the treasury stock method is no longer available. An entity can use either a full or modified retrospective approach to adopt the ASU’s guidance. The ASU is effective for fiscal years beginning after December 15, 2021 and may be early adopted for fiscal years beginning after December 15, 2020, and interim periods within those fiscal years. The Company is currently evaluating the impact of adoption of this ASU on its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color w:val="auto"/>
        </w:rPr>
        <w:t>d</w:t>
      </w:r>
      <w:r>
        <w:rPr>
          <w:rFonts w:ascii="Arial" w:cs="Arial" w:eastAsia="Arial" w:hAnsi="Arial"/>
          <w:sz w:val="18"/>
          <w:szCs w:val="18"/>
          <w:b w:val="1"/>
          <w:bCs w:val="1"/>
          <w:i w:val="1"/>
          <w:iCs w:val="1"/>
          <w:color w:val="auto"/>
        </w:rPr>
        <w:t>) Recently Adopted Accounting Pronouncements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December 2019, FASB issued ASU No. 2019-12, </w:t>
      </w:r>
      <w:r>
        <w:rPr>
          <w:rFonts w:ascii="Arial" w:cs="Arial" w:eastAsia="Arial" w:hAnsi="Arial"/>
          <w:sz w:val="18"/>
          <w:szCs w:val="18"/>
          <w:i w:val="1"/>
          <w:iCs w:val="1"/>
          <w:color w:val="auto"/>
        </w:rPr>
        <w:t>Income Taxes Simplifying the Accounting for Income Taxes</w:t>
      </w:r>
      <w:r>
        <w:rPr>
          <w:rFonts w:ascii="Arial" w:cs="Arial" w:eastAsia="Arial" w:hAnsi="Arial"/>
          <w:sz w:val="18"/>
          <w:szCs w:val="18"/>
          <w:color w:val="auto"/>
        </w:rPr>
        <w:t>. This ASU eliminates certain exceptions related to the approach for intraperiod tax allocation, the methodology for calculating income taxes in an interim period and the recognition of deferred tax liabilities for outside basis differences. The Company adopted this ASU on January 1, 2021. The adoption of this ASU has a minimal impact on the Company’s unaudited consolidated financial statements.</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October 2020, FASB issued ASU No.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to provide guidance for technical corrections such as conforming amendments, clarifications to guidance, simplifications to wording or structure of guidance, and other minor improvements. The amendments in this ASU improve the consistency of the ASC by ensuring that all guidance that requires or provides an option for an entity to provide information in the notes to financial statements is codified in the disclosure section of the ASC. The Company adopted this ASU on January 1, 2021. The adoption of this ASU did not have a material impact on the Company’s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and Geographical Information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operates in the BPM industry and is a provider of operations management and analytics services.</w:t>
      </w:r>
    </w:p>
    <w:p>
      <w:pPr>
        <w:spacing w:after="0" w:line="25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Company manages and reports financial information through its four strategic business units: Insurance, Healthcare, Analytics and Emerging Business. These business units develop client-specific solutions, build capabilities, maintain a unified go-to-market approach and are integrally responsible for service delivery, customer satisfaction, growth and profitability.</w:t>
      </w:r>
    </w:p>
    <w:p>
      <w:pPr>
        <w:spacing w:after="0" w:line="195" w:lineRule="exact"/>
        <w:rPr>
          <w:sz w:val="20"/>
          <w:szCs w:val="20"/>
          <w:color w:val="auto"/>
        </w:rPr>
      </w:pPr>
    </w:p>
    <w:p>
      <w:pPr>
        <w:jc w:val="both"/>
        <w:ind w:right="20" w:firstLine="405"/>
        <w:spacing w:after="0" w:line="212"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 w:lineRule="exact"/>
        <w:rPr>
          <w:sz w:val="20"/>
          <w:szCs w:val="20"/>
          <w:color w:val="auto"/>
        </w:rPr>
      </w:pPr>
    </w:p>
    <w:p>
      <w:pPr>
        <w:jc w:val="both"/>
        <w:ind w:right="20" w:firstLine="405"/>
        <w:spacing w:after="0" w:line="231" w:lineRule="auto"/>
        <w:rPr>
          <w:sz w:val="20"/>
          <w:szCs w:val="20"/>
          <w:color w:val="auto"/>
        </w:rPr>
      </w:pPr>
      <w:r>
        <w:rPr>
          <w:rFonts w:ascii="Arial" w:cs="Arial" w:eastAsia="Arial" w:hAnsi="Arial"/>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and cost of revenues for the three months ended March 31, 2021 and 2020,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175260</wp:posOffset>
            </wp:positionV>
            <wp:extent cx="41319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13"/>
          </w:tcPr>
          <w:p>
            <w:pPr>
              <w:jc w:val="center"/>
              <w:ind w:right="400"/>
              <w:spacing w:after="0"/>
              <w:rPr>
                <w:sz w:val="20"/>
                <w:szCs w:val="20"/>
                <w:color w:val="auto"/>
              </w:rPr>
            </w:pPr>
            <w:r>
              <w:rPr>
                <w:rFonts w:ascii="Arial" w:cs="Arial" w:eastAsia="Arial" w:hAnsi="Arial"/>
                <w:sz w:val="14"/>
                <w:szCs w:val="14"/>
                <w:b w:val="1"/>
                <w:bCs w:val="1"/>
                <w:color w:val="auto"/>
                <w:w w:val="93"/>
              </w:rPr>
              <w:t>Three months ended March 31, 2021</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Insurance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vMerge w:val="restart"/>
          </w:tcPr>
          <w:p>
            <w:pPr>
              <w:jc w:val="right"/>
              <w:ind w:right="320"/>
              <w:spacing w:after="0"/>
              <w:rPr>
                <w:sz w:val="20"/>
                <w:szCs w:val="20"/>
                <w:color w:val="auto"/>
              </w:rPr>
            </w:pPr>
            <w:r>
              <w:rPr>
                <w:rFonts w:ascii="Arial" w:cs="Arial" w:eastAsia="Arial" w:hAnsi="Arial"/>
                <w:sz w:val="18"/>
                <w:szCs w:val="18"/>
                <w:b w:val="1"/>
                <w:bCs w:val="1"/>
                <w:color w:val="auto"/>
                <w:w w:val="95"/>
              </w:rPr>
              <w:t>Healthcare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360"/>
              <w:spacing w:after="0" w:line="175" w:lineRule="exact"/>
              <w:rPr>
                <w:sz w:val="20"/>
                <w:szCs w:val="20"/>
                <w:color w:val="auto"/>
              </w:rPr>
            </w:pPr>
            <w:r>
              <w:rPr>
                <w:rFonts w:ascii="Arial" w:cs="Arial" w:eastAsia="Arial" w:hAnsi="Arial"/>
                <w:sz w:val="18"/>
                <w:szCs w:val="18"/>
                <w:b w:val="1"/>
                <w:bCs w:val="1"/>
                <w:color w:val="auto"/>
                <w:w w:val="91"/>
              </w:rPr>
              <w:t>Emerging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Analytics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82"/>
              </w:rPr>
              <w:t>Business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102,322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261,415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60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158,821</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102,594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4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61,039</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0"/>
              </w:rPr>
              <w:t>Foreign exchange gain, interest expense and other income, net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equity-method investment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31,931</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Exclusive of depreciation and amortization expense.</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gridSpan w:val="13"/>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13"/>
          </w:tcPr>
          <w:p>
            <w:pPr>
              <w:ind w:left="640"/>
              <w:spacing w:after="0"/>
              <w:rPr>
                <w:sz w:val="20"/>
                <w:szCs w:val="20"/>
                <w:color w:val="auto"/>
              </w:rPr>
            </w:pPr>
            <w:r>
              <w:rPr>
                <w:rFonts w:ascii="Arial" w:cs="Arial" w:eastAsia="Arial" w:hAnsi="Arial"/>
                <w:sz w:val="14"/>
                <w:szCs w:val="14"/>
                <w:b w:val="1"/>
                <w:bCs w:val="1"/>
                <w:color w:val="auto"/>
              </w:rPr>
              <w:t>Three months ended March 31, 2020</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91"/>
              </w:rPr>
              <w:t>Insurance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5"/>
              </w:rPr>
              <w:t>Healthcare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20"/>
              <w:spacing w:after="0" w:line="175" w:lineRule="exact"/>
              <w:rPr>
                <w:sz w:val="20"/>
                <w:szCs w:val="20"/>
                <w:color w:val="auto"/>
              </w:rPr>
            </w:pPr>
            <w:r>
              <w:rPr>
                <w:rFonts w:ascii="Arial" w:cs="Arial" w:eastAsia="Arial" w:hAnsi="Arial"/>
                <w:sz w:val="18"/>
                <w:szCs w:val="18"/>
                <w:b w:val="1"/>
                <w:bCs w:val="1"/>
                <w:color w:val="auto"/>
                <w:w w:val="91"/>
              </w:rPr>
              <w:t>Emerging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Analytics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82"/>
              </w:rPr>
              <w:t>Business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83,739</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27,029</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42,791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245,990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6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58,965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19,593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25,482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162,656</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24,774</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55,847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Foreign exchange gain, interest expense and other income, net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Exclusive of depreciation and amortization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net by service type, were as follows:</w:t>
      </w:r>
    </w:p>
    <w:p>
      <w:pPr>
        <w:spacing w:after="0" w:line="136"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4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4"/>
        </w:trPr>
        <w:tc>
          <w:tcPr>
            <w:tcW w:w="49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BPM and related services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153,559</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Analytics services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92,431</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245,990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13"/>
        <w:spacing w:after="0" w:line="215" w:lineRule="auto"/>
        <w:tabs>
          <w:tab w:leader="none" w:pos="622"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BPM and related services include revenues of the Company's Insurance, Healthcare and Emerging Business reportable segments. Refer to the reportable segment disclosure above.</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9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11"/>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net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224,368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207,880</w:t>
            </w: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Non-United States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23,278</w:t>
            </w:r>
          </w:p>
        </w:tc>
      </w:tr>
      <w:tr>
        <w:trPr>
          <w:trHeight w:val="229"/>
        </w:trPr>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14,832</w:t>
            </w:r>
          </w:p>
        </w:tc>
      </w:tr>
      <w:tr>
        <w:trPr>
          <w:trHeight w:val="223"/>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Non-United States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38,110</w:t>
            </w:r>
          </w:p>
        </w:tc>
      </w:tr>
      <w:tr>
        <w:trPr>
          <w:trHeight w:val="248"/>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245,990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Long-lived assets by geographic area, which consist of property and equipment, net and operating lease right-of-use assets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187"/>
        </w:trPr>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December 31, 2020</w:t>
            </w:r>
          </w:p>
        </w:tc>
      </w:tr>
      <w:tr>
        <w:trPr>
          <w:trHeight w:val="251"/>
        </w:trPr>
        <w:tc>
          <w:tcPr>
            <w:tcW w:w="72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India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93,329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97,261</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46,659</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29,434</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11,439</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Long-lived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184,793</w:t>
            </w: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 net</w:t>
      </w:r>
    </w:p>
    <w:p>
      <w:pPr>
        <w:spacing w:after="0" w:line="256"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Refer to Note 3 - Segment and Geographical Information to the unaudited consolidated financial statements for revenues disaggregated by reportable segments and geography.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balances</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information about accounts receivable, contract assets and contract liabilities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8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620" w:type="dxa"/>
            <w:vAlign w:val="bottom"/>
            <w:tcBorders>
              <w:bottom w:val="single" w:sz="8" w:color="auto"/>
            </w:tcBorders>
          </w:tcPr>
          <w:p>
            <w:pPr>
              <w:spacing w:after="0"/>
              <w:rPr>
                <w:sz w:val="16"/>
                <w:szCs w:val="16"/>
                <w:color w:val="auto"/>
              </w:rPr>
            </w:pPr>
          </w:p>
        </w:tc>
      </w:tr>
      <w:tr>
        <w:trPr>
          <w:trHeight w:val="187"/>
        </w:trPr>
        <w:tc>
          <w:tcPr>
            <w:tcW w:w="6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54"/>
              <w:spacing w:after="0"/>
              <w:rPr>
                <w:sz w:val="20"/>
                <w:szCs w:val="20"/>
                <w:color w:val="auto"/>
              </w:rPr>
            </w:pPr>
            <w:r>
              <w:rPr>
                <w:rFonts w:ascii="Arial" w:cs="Arial" w:eastAsia="Arial" w:hAnsi="Arial"/>
                <w:sz w:val="14"/>
                <w:szCs w:val="14"/>
                <w:b w:val="1"/>
                <w:bCs w:val="1"/>
                <w:color w:val="auto"/>
                <w:w w:val="99"/>
              </w:rPr>
              <w:t>December 31, 2020</w:t>
            </w:r>
          </w:p>
        </w:tc>
      </w:tr>
      <w:tr>
        <w:trPr>
          <w:trHeight w:val="251"/>
        </w:trPr>
        <w:tc>
          <w:tcPr>
            <w:tcW w:w="68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2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147,635</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4,437</w:t>
            </w:r>
          </w:p>
        </w:tc>
      </w:tr>
      <w:tr>
        <w:trPr>
          <w:trHeight w:val="22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6880" w:type="dxa"/>
            <w:vAlign w:val="bottom"/>
          </w:tcPr>
          <w:p>
            <w:pPr>
              <w:ind w:left="340"/>
              <w:spacing w:after="0"/>
              <w:rPr>
                <w:sz w:val="20"/>
                <w:szCs w:val="20"/>
                <w:color w:val="auto"/>
              </w:rPr>
            </w:pPr>
            <w:r>
              <w:rPr>
                <w:rFonts w:ascii="Arial" w:cs="Arial" w:eastAsia="Arial" w:hAnsi="Arial"/>
                <w:sz w:val="18"/>
                <w:szCs w:val="18"/>
                <w:color w:val="auto"/>
              </w:rPr>
              <w:t>Deferred revenue (consideration received in advance)</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30,450</w:t>
            </w:r>
          </w:p>
        </w:tc>
      </w:tr>
      <w:tr>
        <w:trPr>
          <w:trHeight w:val="230"/>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Consideration received for process transition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r>
    </w:tbl>
    <w:p>
      <w:pPr>
        <w:spacing w:after="0" w:line="296" w:lineRule="exact"/>
        <w:rPr>
          <w:sz w:val="20"/>
          <w:szCs w:val="20"/>
          <w:color w:val="auto"/>
        </w:rPr>
      </w:pPr>
    </w:p>
    <w:p>
      <w:pPr>
        <w:jc w:val="both"/>
        <w:ind w:firstLine="405"/>
        <w:spacing w:after="0" w:line="224" w:lineRule="auto"/>
        <w:rPr>
          <w:sz w:val="20"/>
          <w:szCs w:val="20"/>
          <w:color w:val="auto"/>
        </w:rPr>
      </w:pPr>
      <w:r>
        <w:rPr>
          <w:rFonts w:ascii="Arial" w:cs="Arial" w:eastAsia="Arial" w:hAnsi="Arial"/>
          <w:sz w:val="18"/>
          <w:szCs w:val="18"/>
          <w:color w:val="auto"/>
        </w:rPr>
        <w:t>Accounts receivable includes $78,502 and $63,995 as of March 31, 2021 and December 31, 2020,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203"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Contract assets represent upfront payments such as deal signing discounts or deal signing bonuses made to customers. These costs are amortized over the expected period of the benefit and are recorded as an adjustment to transaction price and reduced from revenues. The Company’s assessment did not indicate any impairment losses on its contract assets for the periods presented.</w:t>
      </w:r>
    </w:p>
    <w:p>
      <w:pPr>
        <w:spacing w:after="0" w:line="209"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unaudited consolidated balance sheets. The revenues are recognized as (or when) the performance obligation is fulfilled under the contract with customer.</w:t>
      </w:r>
    </w:p>
    <w:p>
      <w:pPr>
        <w:spacing w:after="0" w:line="203"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Revenue recognized during the three months ended March 31, 2021 and 2020, which was included in the contract liabilities balance at the beginning of the respective periods: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68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68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38"/>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(consideration received in advance)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r>
      <w:tr>
        <w:trPr>
          <w:trHeight w:val="257"/>
        </w:trPr>
        <w:tc>
          <w:tcPr>
            <w:tcW w:w="6880" w:type="dxa"/>
            <w:vAlign w:val="bottom"/>
          </w:tcPr>
          <w:p>
            <w:pPr>
              <w:ind w:left="20"/>
              <w:spacing w:after="0"/>
              <w:rPr>
                <w:sz w:val="20"/>
                <w:szCs w:val="20"/>
                <w:color w:val="auto"/>
              </w:rPr>
            </w:pPr>
            <w:r>
              <w:rPr>
                <w:rFonts w:ascii="Arial" w:cs="Arial" w:eastAsia="Arial" w:hAnsi="Arial"/>
                <w:sz w:val="18"/>
                <w:szCs w:val="18"/>
                <w:color w:val="auto"/>
              </w:rPr>
              <w:t>Consideration received for process transition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274</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acquisition and fulfillment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the Company’s contract acquisition and fulfillment costs:</w:t>
      </w:r>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gridSpan w:val="8"/>
          </w:tcPr>
          <w:p>
            <w:pPr>
              <w:ind w:left="460"/>
              <w:spacing w:after="0"/>
              <w:rPr>
                <w:sz w:val="20"/>
                <w:szCs w:val="20"/>
                <w:color w:val="auto"/>
              </w:rPr>
            </w:pPr>
            <w:r>
              <w:rPr>
                <w:rFonts w:ascii="Arial" w:cs="Arial" w:eastAsia="Arial" w:hAnsi="Arial"/>
                <w:sz w:val="18"/>
                <w:szCs w:val="18"/>
                <w:b w:val="1"/>
                <w:bCs w:val="1"/>
                <w:color w:val="auto"/>
              </w:rPr>
              <w:t>Contract Acquisition Costs</w:t>
            </w:r>
          </w:p>
        </w:tc>
        <w:tc>
          <w:tcPr>
            <w:tcW w:w="120" w:type="dxa"/>
            <w:vAlign w:val="bottom"/>
          </w:tcPr>
          <w:p>
            <w:pPr>
              <w:spacing w:after="0"/>
              <w:rPr>
                <w:sz w:val="20"/>
                <w:szCs w:val="20"/>
                <w:color w:val="auto"/>
              </w:rPr>
            </w:pPr>
          </w:p>
        </w:tc>
        <w:tc>
          <w:tcPr>
            <w:tcW w:w="3280" w:type="dxa"/>
            <w:vAlign w:val="bottom"/>
            <w:gridSpan w:val="7"/>
          </w:tcPr>
          <w:p>
            <w:pPr>
              <w:jc w:val="right"/>
              <w:ind w:right="594"/>
              <w:spacing w:after="0"/>
              <w:rPr>
                <w:sz w:val="20"/>
                <w:szCs w:val="20"/>
                <w:color w:val="auto"/>
              </w:rPr>
            </w:pPr>
            <w:r>
              <w:rPr>
                <w:rFonts w:ascii="Arial" w:cs="Arial" w:eastAsia="Arial" w:hAnsi="Arial"/>
                <w:sz w:val="18"/>
                <w:szCs w:val="18"/>
                <w:b w:val="1"/>
                <w:bCs w:val="1"/>
                <w:color w:val="auto"/>
              </w:rPr>
              <w:t>Contract Fulfillment Costs</w:t>
            </w:r>
          </w:p>
        </w:tc>
        <w:tc>
          <w:tcPr>
            <w:tcW w:w="0" w:type="dxa"/>
            <w:vAlign w:val="bottom"/>
          </w:tcPr>
          <w:p>
            <w:pPr>
              <w:spacing w:after="0"/>
              <w:rPr>
                <w:sz w:val="1"/>
                <w:szCs w:val="1"/>
                <w:color w:val="auto"/>
              </w:rPr>
            </w:pPr>
          </w:p>
        </w:tc>
      </w:tr>
      <w:tr>
        <w:trPr>
          <w:trHeight w:val="181"/>
        </w:trPr>
        <w:tc>
          <w:tcPr>
            <w:tcW w:w="38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Quarter Ended</w:t>
            </w:r>
          </w:p>
        </w:tc>
        <w:tc>
          <w:tcPr>
            <w:tcW w:w="6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40" w:type="dxa"/>
            <w:vAlign w:val="bottom"/>
            <w:tcBorders>
              <w:top w:val="single" w:sz="8" w:color="auto"/>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30"/>
        </w:trPr>
        <w:tc>
          <w:tcPr>
            <w:tcW w:w="3820" w:type="dxa"/>
            <w:vAlign w:val="bottom"/>
          </w:tcPr>
          <w:p>
            <w:pPr>
              <w:spacing w:after="0"/>
              <w:rPr>
                <w:sz w:val="11"/>
                <w:szCs w:val="11"/>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2021</w:t>
            </w: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2020</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4"/>
                <w:szCs w:val="14"/>
                <w:b w:val="1"/>
                <w:bCs w:val="1"/>
                <w:color w:val="auto"/>
              </w:rPr>
              <w:t>March 31,</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Opening Balance</w:t>
            </w: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7,255</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5"/>
              </w:rPr>
              <w:t>(242)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Closing Balance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There was no impairment for contract acquisition and contract fulfillment costs as of March 31, 2021 and December 31, 2020. The capitalized costs are amortized over the expected period of benefit of the contract.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expected credit losses</w:t>
      </w:r>
    </w:p>
    <w:p>
      <w:pPr>
        <w:spacing w:after="0" w:line="25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COVID-19.</w:t>
      </w:r>
    </w:p>
    <w:p>
      <w:pPr>
        <w:spacing w:after="0" w:line="216"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duration and severity of COVID-19 and continued market volatility is highly uncertain and, as such, the impact on expected losses is subject to significant judgment, including but not limited to changes in customers’ credit rating, and may cause variability in the Company’s allowance for credit losses in future periods.</w:t>
      </w:r>
    </w:p>
    <w:p>
      <w:pPr>
        <w:spacing w:after="0" w:line="92"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6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780" w:type="dxa"/>
            <w:vAlign w:val="bottom"/>
            <w:tcBorders>
              <w:bottom w:val="single" w:sz="8" w:color="auto"/>
            </w:tcBorders>
          </w:tcPr>
          <w:p>
            <w:pPr>
              <w:spacing w:after="0"/>
              <w:rPr>
                <w:sz w:val="16"/>
                <w:szCs w:val="16"/>
                <w:color w:val="auto"/>
              </w:rPr>
            </w:pPr>
          </w:p>
        </w:tc>
      </w:tr>
      <w:tr>
        <w:trPr>
          <w:trHeight w:val="187"/>
        </w:trPr>
        <w:tc>
          <w:tcPr>
            <w:tcW w:w="64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December 31, 2020</w:t>
            </w:r>
          </w:p>
        </w:tc>
      </w:tr>
      <w:tr>
        <w:trPr>
          <w:trHeight w:val="197"/>
        </w:trPr>
        <w:tc>
          <w:tcPr>
            <w:tcW w:w="6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including unbilled receivables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160,479</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148,824</w:t>
            </w:r>
          </w:p>
        </w:tc>
      </w:tr>
      <w:tr>
        <w:trPr>
          <w:trHeight w:val="229"/>
        </w:trPr>
        <w:tc>
          <w:tcPr>
            <w:tcW w:w="6440" w:type="dxa"/>
            <w:vAlign w:val="bottom"/>
            <w:tcBorders>
              <w:bottom w:val="single" w:sz="8" w:color="BFE4FF"/>
            </w:tcBorders>
          </w:tcPr>
          <w:p>
            <w:pPr>
              <w:spacing w:after="0"/>
              <w:rPr>
                <w:sz w:val="20"/>
                <w:szCs w:val="20"/>
                <w:color w:val="auto"/>
              </w:rPr>
            </w:pPr>
            <w:r>
              <w:rPr>
                <w:rFonts w:ascii="Arial" w:cs="Arial" w:eastAsia="Arial" w:hAnsi="Arial"/>
                <w:sz w:val="18"/>
                <w:szCs w:val="18"/>
                <w:color w:val="auto"/>
              </w:rPr>
              <w:t>Less: Allowance for expected credit loss</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r>
      <w:tr>
        <w:trPr>
          <w:trHeight w:val="248"/>
        </w:trPr>
        <w:tc>
          <w:tcPr>
            <w:tcW w:w="644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b w:val="1"/>
                <w:bCs w:val="1"/>
                <w:color w:val="auto"/>
              </w:rPr>
              <w:t>Accounts receivable, net</w:t>
            </w:r>
          </w:p>
        </w:tc>
        <w:tc>
          <w:tcPr>
            <w:tcW w:w="32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159,296</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7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147,635</w:t>
            </w:r>
          </w:p>
        </w:tc>
      </w:tr>
      <w:tr>
        <w:trPr>
          <w:trHeight w:val="20"/>
        </w:trPr>
        <w:tc>
          <w:tcPr>
            <w:tcW w:w="644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7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1780" w:type="dxa"/>
            <w:vAlign w:val="bottom"/>
            <w:tcBorders>
              <w:top w:val="single" w:sz="8" w:color="BFE4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The movement in allowance for expected credit loss on customer balances for the three months ended March 31, 2021 and year ended December 31, 2020 was as follows:</w:t>
      </w:r>
    </w:p>
    <w:p>
      <w:pPr>
        <w:spacing w:after="0" w:line="81"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5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Year ended</w:t>
            </w:r>
          </w:p>
        </w:tc>
      </w:tr>
      <w:tr>
        <w:trPr>
          <w:trHeight w:val="187"/>
        </w:trPr>
        <w:tc>
          <w:tcPr>
            <w:tcW w:w="5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December 31, 2020</w:t>
            </w:r>
          </w:p>
        </w:tc>
      </w:tr>
      <w:tr>
        <w:trPr>
          <w:trHeight w:val="251"/>
        </w:trPr>
        <w:tc>
          <w:tcPr>
            <w:tcW w:w="53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Additions during the period</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Charged against allowance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the end of the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and assumed conversion premium of outstanding convertible notes, using the treasury stock method. Common stock equivalents and the conversion premium of outstanding convertible notes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90"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Company has a choice to settle the Notes in cash, shares or any combination of the two. The Company presently intends and has the ability to settle the principal balance of the Notes in cash, and as such, the Company has applied the treasury stock method. The dilution related to the conversion premium, if any, of the Notes is included in the calculation of diluted weighted-average shares outstanding to the extent the issuance is dilutive based on the average stock price during the reporting period being greater than the conversion price of $75. Refer to Note 17 - Borrowings to the unaudited consolidated financial statements for further details.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Numerators:</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31,931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22,411</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340"/>
              <w:spacing w:after="0"/>
              <w:rPr>
                <w:sz w:val="20"/>
                <w:szCs w:val="20"/>
                <w:color w:val="auto"/>
              </w:rPr>
            </w:pPr>
            <w:r>
              <w:rPr>
                <w:rFonts w:ascii="Arial" w:cs="Arial" w:eastAsia="Arial" w:hAnsi="Arial"/>
                <w:sz w:val="18"/>
                <w:szCs w:val="18"/>
                <w:color w:val="auto"/>
              </w:rPr>
              <w:t>Basic weighted average common shares outstanding</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33,734,118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34,401,565</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share based awards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319,038</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Dilutive effect of conversion premium on convertible notes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Diluted weighted average common shares outstanding</w:t>
            </w:r>
          </w:p>
        </w:tc>
        <w:tc>
          <w:tcPr>
            <w:tcW w:w="4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34,318,318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34,720,603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7"/>
              </w:rPr>
              <w:t>Earnings per share attributable to ExlService Holdings Inc. stockholders: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9"/>
        </w:trPr>
        <w:tc>
          <w:tcPr>
            <w:tcW w:w="5640" w:type="dxa"/>
            <w:vAlign w:val="bottom"/>
          </w:tcPr>
          <w:p>
            <w:pPr>
              <w:ind w:left="660"/>
              <w:spacing w:after="0"/>
              <w:rPr>
                <w:sz w:val="20"/>
                <w:szCs w:val="20"/>
                <w:color w:val="auto"/>
              </w:rPr>
            </w:pPr>
            <w:r>
              <w:rPr>
                <w:rFonts w:ascii="Arial" w:cs="Arial" w:eastAsia="Arial" w:hAnsi="Arial"/>
                <w:sz w:val="18"/>
                <w:szCs w:val="18"/>
                <w:color w:val="auto"/>
              </w:rPr>
              <w:t>Diluted</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Weighted average potentially dilutive shares considered anti-dilutive and not</w:t>
            </w:r>
          </w:p>
        </w:tc>
        <w:tc>
          <w:tcPr>
            <w:tcW w:w="4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170,313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included in computing diluted earnings per share</w:t>
            </w:r>
          </w:p>
        </w:tc>
        <w:tc>
          <w:tcPr>
            <w:tcW w:w="48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Cash Equivalents and Restricted Cash</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purpose of unaudited statements of cash flows, cash, cash equivalents and restricted cash comprise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177,121</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224,874</w:t>
            </w:r>
          </w:p>
        </w:tc>
        <w:tc>
          <w:tcPr>
            <w:tcW w:w="1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1"/>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8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184,714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Other Income, net</w:t>
            </w:r>
          </w:p>
        </w:tc>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56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Other income, net consists of the following:</w:t>
            </w: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80" w:type="dxa"/>
            <w:vAlign w:val="bottom"/>
            <w:gridSpan w:val="9"/>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10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and mark-to-market of mutual funds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1,103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Interest and dividend income</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Others, net</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(295)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Other income, net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Borders>
              <w:bottom w:val="single" w:sz="8" w:color="auto"/>
            </w:tcBorders>
          </w:tcPr>
          <w:p>
            <w:pPr>
              <w:jc w:val="right"/>
              <w:ind w:right="48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1,410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20" w:type="dxa"/>
            <w:vAlign w:val="bottom"/>
            <w:vMerge w:val="restart"/>
          </w:tcPr>
          <w:p>
            <w:pPr>
              <w:jc w:val="right"/>
              <w:ind w:right="157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consists of the following:</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188"/>
        </w:trPr>
        <w:tc>
          <w:tcPr>
            <w:tcW w:w="556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 2020</w:t>
            </w:r>
          </w:p>
        </w:tc>
      </w:tr>
      <w:tr>
        <w:trPr>
          <w:trHeight w:val="197"/>
        </w:trPr>
        <w:tc>
          <w:tcPr>
            <w:tcW w:w="556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Network equipment and computers</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107,695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107,109</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99,708</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48,052</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22,117</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Land</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work in progress</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r>
      <w:tr>
        <w:trPr>
          <w:trHeight w:val="223"/>
        </w:trPr>
        <w:tc>
          <w:tcPr>
            <w:tcW w:w="5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284,580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284,033</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(191,629)</w:t>
            </w:r>
          </w:p>
        </w:tc>
      </w:tr>
      <w:tr>
        <w:trPr>
          <w:trHeight w:val="223"/>
        </w:trPr>
        <w:tc>
          <w:tcPr>
            <w:tcW w:w="55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92,404</w:t>
            </w: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under finance leases: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Motor vehicles</w:t>
            </w: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r>
      <w:tr>
        <w:trPr>
          <w:trHeight w:val="223"/>
        </w:trPr>
        <w:tc>
          <w:tcPr>
            <w:tcW w:w="55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r>
      <w:tr>
        <w:trPr>
          <w:trHeight w:val="223"/>
        </w:trPr>
        <w:tc>
          <w:tcPr>
            <w:tcW w:w="55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92,875</w:t>
            </w:r>
          </w:p>
        </w:tc>
      </w:tr>
      <w:tr>
        <w:trPr>
          <w:trHeight w:val="20"/>
        </w:trPr>
        <w:tc>
          <w:tcPr>
            <w:tcW w:w="5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Capital work in progress represents advances paid towards acquisition of property and equipment and costs incurred on internally developed software not yet ready to be placed in service.</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2021, there were no changes in estimated useful lives of property and equipment.</w:t>
      </w:r>
    </w:p>
    <w:p>
      <w:pPr>
        <w:spacing w:after="0" w:line="239"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The depreciation and amortization expense, excluding amortization of acquisition-related intangibles, recognized in the unaudited consolidated statements of income was as follows:</w:t>
      </w:r>
    </w:p>
    <w:p>
      <w:pPr>
        <w:spacing w:after="0" w:line="81"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23495</wp:posOffset>
            </wp:positionV>
            <wp:extent cx="18002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2" w:lineRule="exact"/>
        <w:rPr>
          <w:sz w:val="20"/>
          <w:szCs w:val="20"/>
          <w:color w:val="auto"/>
        </w:rPr>
      </w:pPr>
    </w:p>
    <w:p>
      <w:pPr>
        <w:ind w:left="8400"/>
        <w:spacing w:after="0"/>
        <w:tabs>
          <w:tab w:leader="none" w:pos="98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42048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20485" cy="171450"/>
                    </a:xfrm>
                    <a:prstGeom prst="rect">
                      <a:avLst/>
                    </a:prstGeom>
                    <a:noFill/>
                  </pic:spPr>
                </pic:pic>
              </a:graphicData>
            </a:graphic>
          </wp:anchor>
        </w:drawing>
      </w:r>
    </w:p>
    <w:p>
      <w:pPr>
        <w:spacing w:after="0" w:line="30" w:lineRule="exact"/>
        <w:rPr>
          <w:sz w:val="20"/>
          <w:szCs w:val="20"/>
          <w:color w:val="auto"/>
        </w:rPr>
      </w:pPr>
    </w:p>
    <w:p>
      <w:pPr>
        <w:ind w:left="580"/>
        <w:spacing w:after="0"/>
        <w:tabs>
          <w:tab w:leader="none" w:pos="7840" w:val="left"/>
          <w:tab w:leader="none" w:pos="8740" w:val="left"/>
          <w:tab w:leader="none" w:pos="9340" w:val="left"/>
          <w:tab w:leader="none" w:pos="10180" w:val="left"/>
        </w:tabs>
        <w:rPr>
          <w:sz w:val="20"/>
          <w:szCs w:val="20"/>
          <w:color w:val="auto"/>
        </w:rPr>
      </w:pPr>
      <w:r>
        <w:rPr>
          <w:rFonts w:ascii="Arial" w:cs="Arial" w:eastAsia="Arial" w:hAnsi="Arial"/>
          <w:sz w:val="18"/>
          <w:szCs w:val="18"/>
          <w:color w:val="auto"/>
        </w:rPr>
        <w:t>Depreciation and amortization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8,740</w:t>
        <w:tab/>
        <w:t>$</w:t>
      </w:r>
      <w:r>
        <w:rPr>
          <w:sz w:val="20"/>
          <w:szCs w:val="20"/>
          <w:color w:val="auto"/>
        </w:rPr>
        <w:tab/>
      </w:r>
      <w:r>
        <w:rPr>
          <w:rFonts w:ascii="Arial" w:cs="Arial" w:eastAsia="Arial" w:hAnsi="Arial"/>
          <w:sz w:val="15"/>
          <w:szCs w:val="15"/>
          <w:color w:val="auto"/>
        </w:rPr>
        <w:t>8,297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40640</wp:posOffset>
            </wp:positionV>
            <wp:extent cx="1800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effect of foreign exchange gain/(loss) upon settlement of cash flow hedges recorded under depreciation and amortization, was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6"/>
              </w:rPr>
              <w:t>Three months ended March 31,</w:t>
            </w:r>
          </w:p>
        </w:tc>
        <w:tc>
          <w:tcPr>
            <w:tcW w:w="146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1"/>
        </w:trPr>
        <w:tc>
          <w:tcPr>
            <w:tcW w:w="466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Arial" w:cs="Arial" w:eastAsia="Arial" w:hAnsi="Arial"/>
                <w:sz w:val="14"/>
                <w:szCs w:val="14"/>
                <w:b w:val="1"/>
                <w:bCs w:val="1"/>
                <w:color w:val="auto"/>
              </w:rPr>
              <w:t>2021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tcPr>
          <w:p>
            <w:pPr>
              <w:jc w:val="right"/>
              <w:ind w:right="984"/>
              <w:spacing w:after="0"/>
              <w:rPr>
                <w:sz w:val="20"/>
                <w:szCs w:val="20"/>
                <w:color w:val="auto"/>
              </w:rPr>
            </w:pPr>
            <w:r>
              <w:rPr>
                <w:rFonts w:ascii="Arial" w:cs="Arial" w:eastAsia="Arial" w:hAnsi="Arial"/>
                <w:sz w:val="14"/>
                <w:szCs w:val="14"/>
                <w:b w:val="1"/>
                <w:bCs w:val="1"/>
                <w:color w:val="auto"/>
              </w:rPr>
              <w:t>2020</w:t>
            </w:r>
          </w:p>
        </w:tc>
      </w:tr>
      <w:tr>
        <w:trPr>
          <w:trHeight w:val="23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gain</w:t>
            </w:r>
          </w:p>
        </w:tc>
        <w:tc>
          <w:tcPr>
            <w:tcW w:w="1500" w:type="dxa"/>
            <w:vAlign w:val="bottom"/>
            <w:shd w:val="clear" w:color="auto" w:fill="CCEEFF"/>
          </w:tcPr>
          <w:p>
            <w:pPr>
              <w:jc w:val="right"/>
              <w:ind w:right="1324"/>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165</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Internally developed software costs, included under Software, was as follows:</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As of</w:t>
            </w:r>
          </w:p>
        </w:tc>
        <w:tc>
          <w:tcPr>
            <w:tcW w:w="184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December 31, 2020</w:t>
            </w:r>
          </w:p>
        </w:tc>
      </w:tr>
      <w:tr>
        <w:trPr>
          <w:trHeight w:val="197"/>
        </w:trPr>
        <w:tc>
          <w:tcPr>
            <w:tcW w:w="6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18,608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18,371</w:t>
            </w:r>
          </w:p>
        </w:tc>
      </w:tr>
      <w:tr>
        <w:trPr>
          <w:trHeight w:val="229"/>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 Accumulated amortization</w:t>
            </w:r>
          </w:p>
        </w:tc>
        <w:tc>
          <w:tcPr>
            <w:tcW w:w="1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1"/>
              </w:rPr>
              <w:t>(7,022)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4"/>
              </w:rPr>
              <w:t>(5,998)</w:t>
            </w:r>
          </w:p>
        </w:tc>
      </w:tr>
      <w:tr>
        <w:trPr>
          <w:trHeight w:val="248"/>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Internally developed software, net</w:t>
            </w: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11,586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8"/>
              </w:rPr>
              <w:t>12,373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amortization expense on internally developed software recognized in the unaudited consolidated statements of income was as follows:</w:t>
      </w:r>
    </w:p>
    <w:p>
      <w:pPr>
        <w:spacing w:after="0" w:line="147"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23495</wp:posOffset>
            </wp:positionV>
            <wp:extent cx="18948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spacing w:after="0" w:line="22" w:lineRule="exact"/>
        <w:rPr>
          <w:sz w:val="20"/>
          <w:szCs w:val="20"/>
          <w:color w:val="auto"/>
        </w:rPr>
      </w:pPr>
    </w:p>
    <w:p>
      <w:pPr>
        <w:ind w:left="8180"/>
        <w:spacing w:after="0"/>
        <w:tabs>
          <w:tab w:leader="none" w:pos="97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632650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26505" cy="154305"/>
                    </a:xfrm>
                    <a:prstGeom prst="rect">
                      <a:avLst/>
                    </a:prstGeom>
                    <a:noFill/>
                  </pic:spPr>
                </pic:pic>
              </a:graphicData>
            </a:graphic>
          </wp:anchor>
        </w:drawing>
      </w:r>
    </w:p>
    <w:p>
      <w:pPr>
        <w:spacing w:after="0" w:line="30" w:lineRule="exact"/>
        <w:rPr>
          <w:sz w:val="20"/>
          <w:szCs w:val="20"/>
          <w:color w:val="auto"/>
        </w:rPr>
      </w:pPr>
    </w:p>
    <w:p>
      <w:pPr>
        <w:ind w:left="660"/>
        <w:spacing w:after="0"/>
        <w:tabs>
          <w:tab w:leader="none" w:pos="7620" w:val="left"/>
          <w:tab w:leader="none" w:pos="8540" w:val="left"/>
          <w:tab w:leader="none" w:pos="9140" w:val="left"/>
          <w:tab w:leader="none" w:pos="10240" w:val="left"/>
        </w:tabs>
        <w:rPr>
          <w:sz w:val="20"/>
          <w:szCs w:val="20"/>
          <w:color w:val="auto"/>
        </w:rPr>
      </w:pPr>
      <w:r>
        <w:rPr>
          <w:rFonts w:ascii="Arial" w:cs="Arial" w:eastAsia="Arial" w:hAnsi="Arial"/>
          <w:sz w:val="18"/>
          <w:szCs w:val="18"/>
          <w:color w:val="auto"/>
        </w:rPr>
        <w:t>Amortization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1,024</w:t>
        <w:tab/>
        <w:t>$</w:t>
      </w:r>
      <w:r>
        <w:rPr>
          <w:sz w:val="20"/>
          <w:szCs w:val="20"/>
          <w:color w:val="auto"/>
        </w:rPr>
        <w:tab/>
      </w:r>
      <w:r>
        <w:rPr>
          <w:rFonts w:ascii="Arial" w:cs="Arial" w:eastAsia="Arial" w:hAnsi="Arial"/>
          <w:sz w:val="16"/>
          <w:szCs w:val="16"/>
          <w:color w:val="auto"/>
        </w:rPr>
        <w:t>831</w:t>
      </w:r>
    </w:p>
    <w:p>
      <w:pPr>
        <w:spacing w:after="0" w:line="3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As of March 31, 2021 and December 31, 2020, the Company believes no impairment exists because the long-lived asset's future undiscounted net cash flows expected to be generated exceeds its carrying value; however, there can be no assurances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It is reasonably possible that the judgments and estimates described above could change in future periods. The duration and severity of COVID-19 and continued market volatility is highly uncertain and, as such, the impact on undiscounted cash flows is subject to significant judgment and may cause variability in the Company’s assessment of the existence of any impairment.</w:t>
      </w:r>
    </w:p>
    <w:p>
      <w:pPr>
        <w:spacing w:after="0" w:line="311" w:lineRule="exact"/>
        <w:rPr>
          <w:sz w:val="20"/>
          <w:szCs w:val="20"/>
          <w:color w:val="auto"/>
        </w:rPr>
      </w:pPr>
    </w:p>
    <w:p>
      <w:pPr>
        <w:ind w:left="840" w:hanging="184"/>
        <w:spacing w:after="0"/>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The Company transitioned to new segment reporting structure effective January 1, 2020, which resulted in certain changes to its operating segments and reporting units. The Company reallocated goodwill to its reporting units using a relative fair value approach. In addition, the Company completed an assessment of any potential goodwill impairment for all its reporting units immediately prior to the reallocation and determined that no impairment existed.</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details of changes in goodwill by reportable segment of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Insurance</w:t>
            </w:r>
          </w:p>
        </w:tc>
        <w:tc>
          <w:tcPr>
            <w:tcW w:w="16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Healthcare</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Emerging</w:t>
            </w:r>
          </w:p>
        </w:tc>
        <w:tc>
          <w:tcPr>
            <w:tcW w:w="140" w:type="dxa"/>
            <w:vAlign w:val="bottom"/>
          </w:tcPr>
          <w:p>
            <w:pPr>
              <w:spacing w:after="0"/>
              <w:rPr>
                <w:sz w:val="16"/>
                <w:szCs w:val="16"/>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Analytics</w:t>
            </w:r>
          </w:p>
        </w:tc>
        <w:tc>
          <w:tcPr>
            <w:tcW w:w="180" w:type="dxa"/>
            <w:vAlign w:val="bottom"/>
          </w:tcPr>
          <w:p>
            <w:pPr>
              <w:spacing w:after="0"/>
              <w:rPr>
                <w:sz w:val="16"/>
                <w:szCs w:val="1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TT&amp;L</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F&amp;A</w:t>
            </w:r>
          </w:p>
        </w:tc>
        <w:tc>
          <w:tcPr>
            <w:tcW w:w="160" w:type="dxa"/>
            <w:vAlign w:val="bottom"/>
          </w:tcPr>
          <w:p>
            <w:pPr>
              <w:spacing w:after="0"/>
              <w:rPr>
                <w:sz w:val="16"/>
                <w:szCs w:val="16"/>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All Other</w:t>
            </w:r>
          </w:p>
        </w:tc>
        <w:tc>
          <w:tcPr>
            <w:tcW w:w="200" w:type="dxa"/>
            <w:vAlign w:val="bottom"/>
          </w:tcPr>
          <w:p>
            <w:pPr>
              <w:spacing w:after="0"/>
              <w:rPr>
                <w:sz w:val="16"/>
                <w:szCs w:val="16"/>
                <w:color w:val="auto"/>
              </w:rPr>
            </w:pPr>
          </w:p>
        </w:tc>
        <w:tc>
          <w:tcPr>
            <w:tcW w:w="7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4"/>
              </w:rPr>
              <w:t>Business</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at January 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349,529</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line="230" w:lineRule="exact"/>
              <w:rPr>
                <w:sz w:val="20"/>
                <w:szCs w:val="20"/>
                <w:color w:val="auto"/>
              </w:rPr>
            </w:pPr>
            <w:r>
              <w:rPr>
                <w:rFonts w:ascii="Arial" w:cs="Arial" w:eastAsia="Arial" w:hAnsi="Arial"/>
                <w:sz w:val="18"/>
                <w:szCs w:val="18"/>
                <w:color w:val="auto"/>
              </w:rPr>
              <w:t>Goodwill reallocation</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Currency</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translation</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180" w:type="dxa"/>
            <w:vAlign w:val="bottom"/>
          </w:tcPr>
          <w:p>
            <w:pPr>
              <w:ind w:left="20"/>
              <w:spacing w:after="0" w:line="156" w:lineRule="exact"/>
              <w:rPr>
                <w:sz w:val="20"/>
                <w:szCs w:val="20"/>
                <w:color w:val="auto"/>
              </w:rPr>
            </w:pPr>
            <w:r>
              <w:rPr>
                <w:rFonts w:ascii="Arial" w:cs="Arial" w:eastAsia="Arial" w:hAnsi="Arial"/>
                <w:sz w:val="18"/>
                <w:szCs w:val="18"/>
                <w:color w:val="auto"/>
              </w:rPr>
              <w:t>Balance at December 31,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50,499</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21,953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49,348</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227,288</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349,088</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Currency</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translation</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w:t>
            </w: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8"/>
                <w:szCs w:val="18"/>
                <w:color w:val="auto"/>
                <w:w w:val="99"/>
              </w:rPr>
              <w:t>Balance at March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50,520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349,098</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282"/>
        <w:spacing w:after="0" w:line="224" w:lineRule="auto"/>
        <w:tabs>
          <w:tab w:leader="none" w:pos="481"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the reallocation of goodwill resulting from the Company reorganizing its operating segments as described in Note 3 - Segment and Geographical Information to the audited consolidated financial statements included in the Company’s Annual Report on Form 10-K for the fiscal year ended December 31, 2020.</w:t>
      </w:r>
    </w:p>
    <w:p>
      <w:pPr>
        <w:spacing w:after="0" w:line="217"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6"/>
          <w:szCs w:val="16"/>
          <w:color w:val="auto"/>
        </w:rPr>
        <w:t>During the fourth quarter of 2020, the Company performed its annual impairment test of goodwill for those reporting units that had goodwill recorded. Based on the results, the fair values of each of the Company’s reporting units exceeded their carrying value and the goodwill was not impaired.</w:t>
      </w:r>
    </w:p>
    <w:p>
      <w:pPr>
        <w:spacing w:after="0" w:line="15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As of March 31, 2021, the Company evaluated the continuing effects of COVID-19 and its impact on the global economy on each of the Company’s reporting units to assess whether there was a triggering event during the quarter requiring the Company to perform a goodwill impairment test. The Company considered certain improvements in current and forecasted economic and market conditions and qualitative factors, such as the Company’s performance in the first quarter and business forecasts for the remainder of the year, stock price movements and expansion plans. The Company reviewed key assumptions, including revisions of projected future revenues for reporting units against the results of the annual impairment test performed during the fourth quarter of 2020. The Company did not identify any triggers or indications of potential impairment for its reporting units as of March 31, 2021.</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and severity of COVID-19 and continued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 The Company will continue to monitor the impacts of COVID-19 on the Company and significant changes in key assumptions that could result in future period impairment charges.</w:t>
      </w:r>
    </w:p>
    <w:p>
      <w:pPr>
        <w:spacing w:after="0" w:line="207"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 of March 31, 2021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jc w:val="right"/>
              <w:ind w:right="555"/>
              <w:spacing w:after="0" w:line="135"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124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195"/>
              <w:spacing w:after="0"/>
              <w:rPr>
                <w:sz w:val="20"/>
                <w:szCs w:val="20"/>
                <w:color w:val="auto"/>
              </w:rPr>
            </w:pPr>
            <w:r>
              <w:rPr>
                <w:rFonts w:ascii="Arial" w:cs="Arial" w:eastAsia="Arial" w:hAnsi="Arial"/>
                <w:sz w:val="14"/>
                <w:szCs w:val="14"/>
                <w:b w:val="1"/>
                <w:bCs w:val="1"/>
                <w:color w:val="auto"/>
              </w:rPr>
              <w:t>Carrying 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2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73,373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(29,378)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5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2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102,896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(46,653)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580" w:type="dxa"/>
            <w:vAlign w:val="bottom"/>
            <w:vMerge w:val="restart"/>
          </w:tcPr>
          <w:p>
            <w:pPr>
              <w:jc w:val="right"/>
              <w:ind w:right="69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Carrying 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122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8"/>
        </w:trPr>
        <w:tc>
          <w:tcPr>
            <w:tcW w:w="64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1"/>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jc w:val="right"/>
              <w:ind w:right="354"/>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73,357</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(27,464)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45,893</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58,694</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102,867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59,594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amortization expense recognized in the unaudited consolidated statements of income was as follows:</w:t>
      </w:r>
    </w:p>
    <w:p>
      <w:pPr>
        <w:spacing w:after="0" w:line="217"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23495</wp:posOffset>
            </wp:positionV>
            <wp:extent cx="2143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2" w:lineRule="exact"/>
        <w:rPr>
          <w:sz w:val="20"/>
          <w:szCs w:val="20"/>
          <w:color w:val="auto"/>
        </w:rPr>
      </w:pPr>
    </w:p>
    <w:p>
      <w:pPr>
        <w:ind w:left="7800"/>
        <w:spacing w:after="0"/>
        <w:tabs>
          <w:tab w:leader="none" w:pos="95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23495</wp:posOffset>
            </wp:positionV>
            <wp:extent cx="618045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80455" cy="171450"/>
                    </a:xfrm>
                    <a:prstGeom prst="rect">
                      <a:avLst/>
                    </a:prstGeom>
                    <a:noFill/>
                  </pic:spPr>
                </pic:pic>
              </a:graphicData>
            </a:graphic>
          </wp:anchor>
        </w:drawing>
      </w:r>
    </w:p>
    <w:p>
      <w:pPr>
        <w:spacing w:after="0" w:line="30" w:lineRule="exact"/>
        <w:rPr>
          <w:sz w:val="20"/>
          <w:szCs w:val="20"/>
          <w:color w:val="auto"/>
        </w:rPr>
      </w:pPr>
    </w:p>
    <w:p>
      <w:pPr>
        <w:ind w:left="780"/>
        <w:spacing w:after="0"/>
        <w:tabs>
          <w:tab w:leader="none" w:pos="7120" w:val="left"/>
          <w:tab w:leader="none" w:pos="8260" w:val="left"/>
          <w:tab w:leader="none" w:pos="8860" w:val="left"/>
          <w:tab w:leader="none" w:pos="10000" w:val="left"/>
        </w:tabs>
        <w:rPr>
          <w:sz w:val="20"/>
          <w:szCs w:val="20"/>
          <w:color w:val="auto"/>
        </w:rPr>
      </w:pPr>
      <w:r>
        <w:rPr>
          <w:rFonts w:ascii="Arial" w:cs="Arial" w:eastAsia="Arial" w:hAnsi="Arial"/>
          <w:sz w:val="18"/>
          <w:szCs w:val="18"/>
          <w:color w:val="auto"/>
        </w:rPr>
        <w:t>Amortization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3,361</w:t>
        <w:tab/>
        <w:t>$</w:t>
      </w:r>
      <w:r>
        <w:rPr>
          <w:sz w:val="20"/>
          <w:szCs w:val="20"/>
          <w:color w:val="auto"/>
        </w:rPr>
        <w:tab/>
      </w:r>
      <w:r>
        <w:rPr>
          <w:rFonts w:ascii="Arial" w:cs="Arial" w:eastAsia="Arial" w:hAnsi="Arial"/>
          <w:sz w:val="15"/>
          <w:szCs w:val="15"/>
          <w:color w:val="auto"/>
        </w:rPr>
        <w:t>4,153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40640</wp:posOffset>
            </wp:positionV>
            <wp:extent cx="21431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81"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The remaining weighted average life of intangible assets is as follows: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1"/>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(in years)</w:t>
            </w:r>
          </w:p>
        </w:tc>
      </w:tr>
      <w:tr>
        <w:trPr>
          <w:trHeight w:val="229"/>
        </w:trPr>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 (Finite lived)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r>
      <w:tr>
        <w:trPr>
          <w:trHeight w:val="466"/>
        </w:trPr>
        <w:tc>
          <w:tcPr>
            <w:tcW w:w="260" w:type="dxa"/>
            <w:vAlign w:val="bottom"/>
          </w:tcPr>
          <w:p>
            <w:pPr>
              <w:spacing w:after="0"/>
              <w:rPr>
                <w:sz w:val="24"/>
                <w:szCs w:val="24"/>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color w:val="auto"/>
                <w:w w:val="93"/>
              </w:rPr>
              <w:t>Estimated future amortization expense related to finite-lived intangible assets as of March 31, 2021 was as follows: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260" w:type="dxa"/>
            <w:vAlign w:val="bottom"/>
          </w:tcPr>
          <w:p>
            <w:pPr>
              <w:spacing w:after="0"/>
              <w:rPr>
                <w:sz w:val="20"/>
                <w:szCs w:val="20"/>
                <w:color w:val="auto"/>
              </w:rPr>
            </w:pPr>
          </w:p>
        </w:tc>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(April 1 - December 31)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9,410</w:t>
            </w:r>
          </w:p>
        </w:tc>
      </w:tr>
      <w:tr>
        <w:trPr>
          <w:trHeight w:val="229"/>
        </w:trPr>
        <w:tc>
          <w:tcPr>
            <w:tcW w:w="260" w:type="dxa"/>
            <w:vAlign w:val="bottom"/>
          </w:tcPr>
          <w:p>
            <w:pPr>
              <w:spacing w:after="0"/>
              <w:rPr>
                <w:sz w:val="19"/>
                <w:szCs w:val="19"/>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11,342</w:t>
            </w:r>
          </w:p>
        </w:tc>
      </w:tr>
      <w:tr>
        <w:trPr>
          <w:trHeight w:val="230"/>
        </w:trPr>
        <w:tc>
          <w:tcPr>
            <w:tcW w:w="260" w:type="dxa"/>
            <w:vAlign w:val="bottom"/>
          </w:tcPr>
          <w:p>
            <w:pPr>
              <w:spacing w:after="0"/>
              <w:rPr>
                <w:sz w:val="19"/>
                <w:szCs w:val="19"/>
                <w:color w:val="auto"/>
              </w:rPr>
            </w:pPr>
          </w:p>
        </w:tc>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9,053</w:t>
            </w:r>
          </w:p>
        </w:tc>
      </w:tr>
      <w:tr>
        <w:trPr>
          <w:trHeight w:val="230"/>
        </w:trPr>
        <w:tc>
          <w:tcPr>
            <w:tcW w:w="260" w:type="dxa"/>
            <w:vAlign w:val="bottom"/>
          </w:tcPr>
          <w:p>
            <w:pPr>
              <w:spacing w:after="0"/>
              <w:rPr>
                <w:sz w:val="19"/>
                <w:szCs w:val="19"/>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6,711</w:t>
            </w:r>
          </w:p>
        </w:tc>
      </w:tr>
      <w:tr>
        <w:trPr>
          <w:trHeight w:val="230"/>
        </w:trPr>
        <w:tc>
          <w:tcPr>
            <w:tcW w:w="260" w:type="dxa"/>
            <w:vAlign w:val="bottom"/>
          </w:tcPr>
          <w:p>
            <w:pPr>
              <w:spacing w:after="0"/>
              <w:rPr>
                <w:sz w:val="19"/>
                <w:szCs w:val="19"/>
                <w:color w:val="auto"/>
              </w:rPr>
            </w:pPr>
          </w:p>
        </w:tc>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5,959</w:t>
            </w:r>
          </w:p>
        </w:tc>
      </w:tr>
      <w:tr>
        <w:trPr>
          <w:trHeight w:val="229"/>
        </w:trPr>
        <w:tc>
          <w:tcPr>
            <w:tcW w:w="260" w:type="dxa"/>
            <w:vAlign w:val="bottom"/>
          </w:tcPr>
          <w:p>
            <w:pPr>
              <w:spacing w:after="0"/>
              <w:rPr>
                <w:sz w:val="19"/>
                <w:szCs w:val="19"/>
                <w:color w:val="auto"/>
              </w:rPr>
            </w:pPr>
          </w:p>
        </w:tc>
        <w:tc>
          <w:tcPr>
            <w:tcW w:w="8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12,868</w:t>
            </w:r>
          </w:p>
        </w:tc>
      </w:tr>
      <w:tr>
        <w:trPr>
          <w:trHeight w:val="248"/>
        </w:trPr>
        <w:tc>
          <w:tcPr>
            <w:tcW w:w="260" w:type="dxa"/>
            <w:vAlign w:val="bottom"/>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55,343</w:t>
            </w:r>
          </w:p>
        </w:tc>
      </w:tr>
      <w:tr>
        <w:trPr>
          <w:trHeight w:val="20"/>
        </w:trPr>
        <w:tc>
          <w:tcPr>
            <w:tcW w:w="26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Current Assets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current assets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As of</w:t>
            </w: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9"/>
              </w:rPr>
              <w:t>December 31, 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9,651</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6900" w:type="dxa"/>
            <w:vAlign w:val="bottom"/>
            <w:gridSpan w:val="3"/>
          </w:tcPr>
          <w:p>
            <w:pPr>
              <w:ind w:left="20"/>
              <w:spacing w:after="0"/>
              <w:rPr>
                <w:sz w:val="20"/>
                <w:szCs w:val="20"/>
                <w:color w:val="auto"/>
              </w:rPr>
            </w:pPr>
            <w:r>
              <w:rPr>
                <w:rFonts w:ascii="Arial" w:cs="Arial" w:eastAsia="Arial" w:hAnsi="Arial"/>
                <w:sz w:val="18"/>
                <w:szCs w:val="18"/>
                <w:color w:val="auto"/>
              </w:rPr>
              <w:t>Advances to suppliers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2,816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3,906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Receivables from statutory authorities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6900" w:type="dxa"/>
            <w:vAlign w:val="bottom"/>
            <w:gridSpan w:val="3"/>
          </w:tcPr>
          <w:p>
            <w:pPr>
              <w:ind w:left="20"/>
              <w:spacing w:after="0"/>
              <w:rPr>
                <w:sz w:val="20"/>
                <w:szCs w:val="20"/>
                <w:color w:val="auto"/>
              </w:rPr>
            </w:pPr>
            <w:r>
              <w:rPr>
                <w:rFonts w:ascii="Arial" w:cs="Arial" w:eastAsia="Arial" w:hAnsi="Arial"/>
                <w:sz w:val="18"/>
                <w:szCs w:val="18"/>
                <w:color w:val="auto"/>
              </w:rPr>
              <w:t>Contract assets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1,778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contract fulfillment costs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900" w:type="dxa"/>
            <w:vAlign w:val="bottom"/>
            <w:gridSpan w:val="3"/>
          </w:tcPr>
          <w:p>
            <w:pPr>
              <w:ind w:left="20"/>
              <w:spacing w:after="0"/>
              <w:rPr>
                <w:sz w:val="20"/>
                <w:szCs w:val="20"/>
                <w:color w:val="auto"/>
              </w:rPr>
            </w:pPr>
            <w:r>
              <w:rPr>
                <w:rFonts w:ascii="Arial" w:cs="Arial" w:eastAsia="Arial" w:hAnsi="Arial"/>
                <w:sz w:val="18"/>
                <w:szCs w:val="18"/>
                <w:color w:val="auto"/>
              </w:rPr>
              <w:t>Interest accrued on term deposits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900" w:type="dxa"/>
            <w:vAlign w:val="bottom"/>
            <w:gridSpan w:val="3"/>
          </w:tcPr>
          <w:p>
            <w:pPr>
              <w:ind w:left="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35,828</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37,109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11. Other Assets</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28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6900" w:type="dxa"/>
            <w:vAlign w:val="bottom"/>
            <w:gridSpan w:val="3"/>
          </w:tcPr>
          <w:p>
            <w:pPr>
              <w:ind w:left="40"/>
              <w:spacing w:after="0"/>
              <w:rPr>
                <w:sz w:val="20"/>
                <w:szCs w:val="20"/>
                <w:color w:val="auto"/>
              </w:rPr>
            </w:pPr>
            <w:r>
              <w:rPr>
                <w:rFonts w:ascii="Arial" w:cs="Arial" w:eastAsia="Arial" w:hAnsi="Arial"/>
                <w:sz w:val="18"/>
                <w:szCs w:val="18"/>
                <w:color w:val="auto"/>
              </w:rPr>
              <w:t>Other assets consist of the following:</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deposits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9,788</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with statutory authorities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6,341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Term deposits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Deferred contract fulfillment costs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29,669</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0"/>
        </w:trPr>
        <w:tc>
          <w:tcPr>
            <w:tcW w:w="7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12. Accrued Expenses and Other Current Liabilities</w:t>
            </w: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728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6900" w:type="dxa"/>
            <w:vAlign w:val="bottom"/>
            <w:gridSpan w:val="3"/>
          </w:tcPr>
          <w:p>
            <w:pPr>
              <w:ind w:left="8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1"/>
              </w:rPr>
              <w:t>As of</w:t>
            </w: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38,562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gridSpan w:val="2"/>
          </w:tcPr>
          <w:p>
            <w:pPr>
              <w:ind w:left="20"/>
              <w:spacing w:after="0"/>
              <w:rPr>
                <w:sz w:val="20"/>
                <w:szCs w:val="20"/>
                <w:color w:val="auto"/>
              </w:rPr>
            </w:pPr>
            <w:r>
              <w:rPr>
                <w:rFonts w:ascii="Arial" w:cs="Arial" w:eastAsia="Arial" w:hAnsi="Arial"/>
                <w:sz w:val="18"/>
                <w:szCs w:val="18"/>
                <w:color w:val="auto"/>
              </w:rPr>
              <w:t>Payable to statutory authorities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17,245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Client liabilities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gridSpan w:val="2"/>
          </w:tcPr>
          <w:p>
            <w:pPr>
              <w:ind w:left="20"/>
              <w:spacing w:after="0"/>
              <w:rPr>
                <w:sz w:val="20"/>
                <w:szCs w:val="20"/>
                <w:color w:val="auto"/>
              </w:rPr>
            </w:pPr>
            <w:r>
              <w:rPr>
                <w:rFonts w:ascii="Arial" w:cs="Arial" w:eastAsia="Arial" w:hAnsi="Arial"/>
                <w:sz w:val="18"/>
                <w:szCs w:val="18"/>
                <w:color w:val="auto"/>
              </w:rPr>
              <w:t>Interest payable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Finance lease liabilities</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209</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73,241</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320" w:top="121" w:right="61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Non-Current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liabilities consist of the following:</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r>
      <w:tr>
        <w:trPr>
          <w:trHeight w:val="187"/>
        </w:trPr>
        <w:tc>
          <w:tcPr>
            <w:tcW w:w="6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2020</w:t>
            </w:r>
          </w:p>
        </w:tc>
      </w:tr>
      <w:tr>
        <w:trPr>
          <w:trHeight w:val="197"/>
        </w:trPr>
        <w:tc>
          <w:tcPr>
            <w:tcW w:w="68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Deferred transition revenue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3,568</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18,135</w:t>
            </w:r>
          </w:p>
        </w:tc>
      </w:tr>
      <w:tr>
        <w:trPr>
          <w:trHeight w:val="21"/>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364"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Accumulated other comprehensive loss (“AOCI”) consists of actuarial gain/(loss) on retirement benefits and foreign currency translation adjustments. In addition, the Company enters into foreign currency exchange contracts, which are designated as cash flow hedges in accordance with ASC 815. Cumulative changes in the fair values of these foreign currency exchange contracts are recognized in AOCI on the Company's unaudited consolidated balance sheets until the settlement of those contracts. The balances as of March 31, 2021 and March 31, 2020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w w:val="90"/>
              </w:rPr>
              <w:t>Accumulated Other Comprehensive Loss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3"/>
              </w:rPr>
              <w:t>Foreign currency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0"/>
              </w:rPr>
              <w:t>Unrealized</w:t>
            </w:r>
          </w:p>
        </w:tc>
        <w:tc>
          <w:tcPr>
            <w:tcW w:w="16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1"/>
              </w:rPr>
              <w:t>Retirement benefits</w:t>
            </w:r>
          </w:p>
        </w:tc>
        <w:tc>
          <w:tcPr>
            <w:tcW w:w="400" w:type="dxa"/>
            <w:vAlign w:val="bottom"/>
          </w:tcPr>
          <w:p>
            <w:pPr>
              <w:spacing w:after="0"/>
              <w:rPr>
                <w:sz w:val="14"/>
                <w:szCs w:val="14"/>
                <w:color w:val="auto"/>
              </w:rPr>
            </w:pPr>
          </w:p>
        </w:tc>
        <w:tc>
          <w:tcPr>
            <w:tcW w:w="124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80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w w:val="91"/>
              </w:rPr>
              <w:t>translation (loss)/gain</w:t>
            </w:r>
          </w:p>
        </w:tc>
        <w:tc>
          <w:tcPr>
            <w:tcW w:w="120" w:type="dxa"/>
            <w:vAlign w:val="bottom"/>
          </w:tcPr>
          <w:p>
            <w:pPr>
              <w:spacing w:after="0"/>
              <w:rPr>
                <w:sz w:val="15"/>
                <w:szCs w:val="15"/>
                <w:color w:val="auto"/>
              </w:rPr>
            </w:pPr>
          </w:p>
        </w:tc>
        <w:tc>
          <w:tcPr>
            <w:tcW w:w="16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85"/>
              </w:rPr>
              <w:t>(loss)/gain on cash</w:t>
            </w:r>
          </w:p>
        </w:tc>
        <w:tc>
          <w:tcPr>
            <w:tcW w:w="16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6"/>
              </w:rPr>
              <w:t>flow hedges</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(74,984)</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Gains / (losses) recognized during the period</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Reclassification to net income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Income tax effects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Accumulated other comprehensive loss as of March 31,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(87,812)</w:t>
            </w:r>
          </w:p>
        </w:tc>
        <w:tc>
          <w:tcPr>
            <w:tcW w:w="3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11,529</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(2,470)</w:t>
            </w:r>
          </w:p>
        </w:tc>
        <w:tc>
          <w:tcPr>
            <w:tcW w:w="4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(78,753)</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160" w:type="dxa"/>
            <w:vAlign w:val="bottom"/>
            <w:vMerge w:val="continue"/>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(84,892)</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Losses recognized during the period</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(21,571)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(36,417)</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Reclassification to net income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Income tax effects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Accumulated other comprehensive loss as of March 31,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(104,928)</w:t>
            </w:r>
          </w:p>
        </w:tc>
        <w:tc>
          <w:tcPr>
            <w:tcW w:w="3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(6,869)</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(1,307)</w:t>
            </w:r>
          </w:p>
        </w:tc>
        <w:tc>
          <w:tcPr>
            <w:tcW w:w="4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(113,104)</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gridSpan w:val="2"/>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180" w:hanging="172"/>
        <w:spacing w:after="0" w:line="234" w:lineRule="auto"/>
        <w:tabs>
          <w:tab w:leader="none" w:pos="167"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i w:val="1"/>
          <w:iCs w:val="1"/>
          <w:color w:val="auto"/>
        </w:rPr>
        <w:t>Refer to Note 16 - Derivatives and Hedge Accounting and Note 19 - Employee Benefit Plans to the unaudited consolidated financial statements for reclassification to net income.</w:t>
      </w:r>
    </w:p>
    <w:p>
      <w:pPr>
        <w:spacing w:after="0" w:line="212" w:lineRule="exact"/>
        <w:rPr>
          <w:rFonts w:ascii="Arial" w:cs="Arial" w:eastAsia="Arial" w:hAnsi="Arial"/>
          <w:sz w:val="19"/>
          <w:szCs w:val="19"/>
          <w:color w:val="auto"/>
          <w:vertAlign w:val="superscript"/>
        </w:rPr>
      </w:pPr>
    </w:p>
    <w:p>
      <w:pPr>
        <w:ind w:left="80" w:right="20" w:hanging="72"/>
        <w:spacing w:after="0" w:line="299" w:lineRule="auto"/>
        <w:tabs>
          <w:tab w:leader="none" w:pos="148"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i w:val="1"/>
          <w:iCs w:val="1"/>
          <w:color w:val="auto"/>
        </w:rPr>
        <w:t>These are income tax effects recognized on changes in the fair values of cash flow hedges, actuarial (loss) / gain on retirement benefits and foreign currency translation (loss) / gain, net of reclassifications related to the period activity. Refer to Note 21 - Income Taxes to the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Company’s assets and liabilities that were accounted for at fair value as of March 31, 2021 and December 31, 2020.</w:t>
      </w:r>
    </w:p>
    <w:p>
      <w:pPr>
        <w:spacing w:after="0" w:line="231"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Significant Other</w:t>
            </w:r>
          </w:p>
        </w:tc>
        <w:tc>
          <w:tcPr>
            <w:tcW w:w="12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Significant Other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76"/>
        </w:trPr>
        <w:tc>
          <w:tcPr>
            <w:tcW w:w="3580" w:type="dxa"/>
            <w:vAlign w:val="bottom"/>
          </w:tcPr>
          <w:p>
            <w:pPr>
              <w:spacing w:after="0"/>
              <w:rPr>
                <w:sz w:val="15"/>
                <w:szCs w:val="15"/>
                <w:color w:val="auto"/>
              </w:rPr>
            </w:pPr>
          </w:p>
        </w:tc>
        <w:tc>
          <w:tcPr>
            <w:tcW w:w="170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3"/>
              </w:rPr>
              <w:t>Active Markets for</w:t>
            </w:r>
          </w:p>
        </w:tc>
        <w:tc>
          <w:tcPr>
            <w:tcW w:w="170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Observable Inputs</w:t>
            </w:r>
          </w:p>
        </w:tc>
        <w:tc>
          <w:tcPr>
            <w:tcW w:w="120" w:type="dxa"/>
            <w:vAlign w:val="bottom"/>
          </w:tcPr>
          <w:p>
            <w:pPr>
              <w:spacing w:after="0"/>
              <w:rPr>
                <w:sz w:val="15"/>
                <w:szCs w:val="15"/>
                <w:color w:val="auto"/>
              </w:rPr>
            </w:pPr>
          </w:p>
        </w:tc>
        <w:tc>
          <w:tcPr>
            <w:tcW w:w="160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9"/>
              </w:rPr>
              <w:t>Unobservable</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9"/>
        </w:trPr>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Identical Assets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81"/>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161,868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161,868</w:t>
            </w: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15,507</w:t>
            </w: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161,868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177,375</w:t>
            </w: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3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2"/>
              </w:rPr>
              <w:t>Significant Other</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2"/>
              </w:rPr>
              <w:t>Significant Other</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75"/>
        </w:trPr>
        <w:tc>
          <w:tcPr>
            <w:tcW w:w="480" w:type="dxa"/>
            <w:vAlign w:val="bottom"/>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jc w:val="center"/>
              <w:ind w:right="120"/>
              <w:spacing w:after="0" w:line="176" w:lineRule="exact"/>
              <w:rPr>
                <w:sz w:val="20"/>
                <w:szCs w:val="20"/>
                <w:color w:val="auto"/>
              </w:rPr>
            </w:pPr>
            <w:r>
              <w:rPr>
                <w:rFonts w:ascii="Arial" w:cs="Arial" w:eastAsia="Arial" w:hAnsi="Arial"/>
                <w:sz w:val="18"/>
                <w:szCs w:val="18"/>
                <w:b w:val="1"/>
                <w:bCs w:val="1"/>
                <w:color w:val="auto"/>
                <w:w w:val="93"/>
              </w:rPr>
              <w:t>Active Markets for</w:t>
            </w:r>
          </w:p>
        </w:tc>
        <w:tc>
          <w:tcPr>
            <w:tcW w:w="1700" w:type="dxa"/>
            <w:vAlign w:val="bottom"/>
            <w:gridSpan w:val="3"/>
            <w:shd w:val="clear" w:color="auto" w:fill="CCEEFF"/>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Observable Inputs</w:t>
            </w:r>
          </w:p>
        </w:tc>
        <w:tc>
          <w:tcPr>
            <w:tcW w:w="1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center"/>
              <w:ind w:right="220"/>
              <w:spacing w:after="0" w:line="176" w:lineRule="exact"/>
              <w:rPr>
                <w:sz w:val="20"/>
                <w:szCs w:val="20"/>
                <w:color w:val="auto"/>
              </w:rPr>
            </w:pPr>
            <w:r>
              <w:rPr>
                <w:rFonts w:ascii="Arial" w:cs="Arial" w:eastAsia="Arial" w:hAnsi="Arial"/>
                <w:sz w:val="18"/>
                <w:szCs w:val="18"/>
                <w:b w:val="1"/>
                <w:bCs w:val="1"/>
                <w:color w:val="auto"/>
                <w:w w:val="89"/>
              </w:rPr>
              <w:t>Unobservable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0"/>
        </w:trPr>
        <w:tc>
          <w:tcPr>
            <w:tcW w:w="48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7"/>
              </w:rPr>
              <w:t>Identical Assets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1"/>
        </w:trPr>
        <w:tc>
          <w:tcPr>
            <w:tcW w:w="480" w:type="dxa"/>
            <w:vAlign w:val="bottom"/>
          </w:tcPr>
          <w:p>
            <w:pPr>
              <w:spacing w:after="0"/>
              <w:rPr>
                <w:sz w:val="15"/>
                <w:szCs w:val="15"/>
                <w:color w:val="auto"/>
              </w:rPr>
            </w:pPr>
          </w:p>
        </w:tc>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211"/>
        </w:trPr>
        <w:tc>
          <w:tcPr>
            <w:tcW w:w="480" w:type="dxa"/>
            <w:vAlign w:val="bottom"/>
          </w:tcPr>
          <w:p>
            <w:pPr>
              <w:spacing w:after="0"/>
              <w:rPr>
                <w:sz w:val="18"/>
                <w:szCs w:val="18"/>
                <w:color w:val="auto"/>
              </w:rPr>
            </w:pPr>
          </w:p>
        </w:tc>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80" w:type="dxa"/>
            <w:vAlign w:val="bottom"/>
          </w:tcPr>
          <w:p>
            <w:pPr>
              <w:spacing w:after="0"/>
              <w:rPr>
                <w:sz w:val="19"/>
                <w:szCs w:val="19"/>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160,441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160,441</w:t>
            </w:r>
          </w:p>
        </w:tc>
      </w:tr>
      <w:tr>
        <w:trPr>
          <w:trHeight w:val="230"/>
        </w:trPr>
        <w:tc>
          <w:tcPr>
            <w:tcW w:w="480" w:type="dxa"/>
            <w:vAlign w:val="bottom"/>
          </w:tcPr>
          <w:p>
            <w:pPr>
              <w:spacing w:after="0"/>
              <w:rPr>
                <w:sz w:val="19"/>
                <w:szCs w:val="19"/>
                <w:color w:val="auto"/>
              </w:rPr>
            </w:pP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16,688</w:t>
            </w:r>
          </w:p>
        </w:tc>
      </w:tr>
      <w:tr>
        <w:trPr>
          <w:trHeight w:val="223"/>
        </w:trPr>
        <w:tc>
          <w:tcPr>
            <w:tcW w:w="480" w:type="dxa"/>
            <w:vAlign w:val="bottom"/>
          </w:tcPr>
          <w:p>
            <w:pPr>
              <w:spacing w:after="0"/>
              <w:rPr>
                <w:sz w:val="19"/>
                <w:szCs w:val="19"/>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160,441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177,129</w:t>
            </w:r>
          </w:p>
        </w:tc>
      </w:tr>
      <w:tr>
        <w:trPr>
          <w:trHeight w:val="20"/>
        </w:trPr>
        <w:tc>
          <w:tcPr>
            <w:tcW w:w="48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480" w:type="dxa"/>
            <w:vAlign w:val="bottom"/>
          </w:tcPr>
          <w:p>
            <w:pPr>
              <w:spacing w:after="0"/>
              <w:rPr>
                <w:sz w:val="19"/>
                <w:szCs w:val="19"/>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48"/>
        </w:trPr>
        <w:tc>
          <w:tcPr>
            <w:tcW w:w="480" w:type="dxa"/>
            <w:vAlign w:val="bottom"/>
          </w:tcPr>
          <w:p>
            <w:pPr>
              <w:spacing w:after="0"/>
              <w:rPr>
                <w:sz w:val="21"/>
                <w:szCs w:val="21"/>
                <w:color w:val="auto"/>
              </w:rPr>
            </w:pPr>
          </w:p>
        </w:tc>
        <w:tc>
          <w:tcPr>
            <w:tcW w:w="3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0"/>
        </w:trPr>
        <w:tc>
          <w:tcPr>
            <w:tcW w:w="48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8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r>
    </w:tbl>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Represents those short-term investments, which are carried at the fair value option under ASC 825 "Financial Instruments”.</w:t>
      </w:r>
    </w:p>
    <w:p>
      <w:pPr>
        <w:spacing w:after="0" w:line="23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of foreign currency forward exchange contracts.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values for derivative financial instruments are based on independent sources including highly rated financial institutions and are classified as Level 2. Refer to Note 16 - Derivatives and Hedge Accounting to the unaudited consolidated financial statements for further details.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r>
        <w:rPr>
          <w:rFonts w:ascii="Arial" w:cs="Arial" w:eastAsia="Arial" w:hAnsi="Arial"/>
          <w:sz w:val="18"/>
          <w:szCs w:val="18"/>
          <w:color w:val="auto"/>
        </w:rPr>
        <w:t>:</w:t>
      </w:r>
    </w:p>
    <w:p>
      <w:pPr>
        <w:spacing w:after="0" w:line="239"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The Company’s other financial instruments not carried at fair value consist primarily of cash and cash equivalents, short-term investments (except investments in mutual funds, as disclosed above), restricted cash, accrued interest on term deposits, accrued capital expenditures, accrued expenses and interest payable on borrowings for which fair values approximate their carrying amounts due to their short-term nature. The carrying value of the Company’s outstanding revolving credit facility approximates its fair value because the Company’s interest rate yield is near current market rates for comparable debt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The total estimated fair value of the convertible senior notes as of March 31, 2021 and December 31, 2020 was $152,636 and $152,384, respectively. The fair value was determined based on the market yields for similar convertible notes as of the March 31, 2021 and December 31, 2020, respectively. The Company considers the fair value of the convertible senior notes to be a Level 2 measurement due to the limited inputs available for its fair valuation.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Derivatives and Hedge Accounting</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so as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$509,860 as of March 31, 2021 and $451,935 as of December 31, 2020.</w:t>
      </w:r>
    </w:p>
    <w:p>
      <w:pPr>
        <w:spacing w:after="0" w:line="2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Changes in the fair value of these cash flow hedges are recorded as a component of accumulated other comprehensive income/(loss), net of tax, until the hedged transactions occurs. The resultant foreign exchange gain/(loss) upon settlement of these cash flow hedges is recorded along with the underlying hedged item in the same line of unaudited consolidated statements of income as either a part of “Cost of revenues,” “General and administrative expenses,” “Selling and marketing expenses”, “Depreciation and amortization expense”, as applicable.</w:t>
      </w:r>
    </w:p>
    <w:p>
      <w:pPr>
        <w:spacing w:after="0" w:line="19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21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Company estimates that approximately $8,996 of derivative gains, net, excluding tax effects, included in AOCI, representing changes in the value of cash flow hedges, could be reclassified into earnings within the next twelve months based on exchange rates prevailing as of March 31, 2021. At March 31, 2021, the maximum outstanding term of the cash flow hedges was 45 months.</w:t>
      </w:r>
    </w:p>
    <w:p>
      <w:pPr>
        <w:spacing w:after="0" w:line="2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The Company also enters into foreign currency forward contracts to economically hedge its intercompany balances and other monetary assets and liabilities denominated in currencies other than functional currencies, against the risk of foreign currency fluctuations associated with remeasurement of such assets and liabilities to functional currency. These derivatives do not qualify as fair value hedges under ASC 815. Changes in the fair value of these derivatives are recognized in the unaudited consolidated statements of income and are included in the foreign exchange gain/(loss) line item. The Company’s primary exchange rate exposure is with the Indian rupee, the U.K. pound sterling (GBP) and the Philippine peso. The Company also has exposure to Colombian pesos (COP), Czech koruna, the Euro (EUR), South African ZAR and other local currencies in which it operates. Outstanding foreign currency forward contracts amounted to USD 147,228, GBP 7,727, EUR 1,978 and COP 8,172,868 as of March 31, 2021 and USD 143,394, GBP 6,753, EUR 2,447 and COP 8,287,950 as of December 31, 2020.</w:t>
      </w:r>
    </w:p>
    <w:p>
      <w:pPr>
        <w:spacing w:after="0" w:line="208"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All of the assets and liabilities related to our foreign exchange forward contracts are subject to master netting arrangements with each individual counterparty. These master netting arrangements generally provide for net settlement of all outstanding contracts with the counterparty in the case of an event of default or a termination event. We have presented all of the assets and liabilities related to our foreign exchange forward contracts on a gross basis, with no offsets, in our unaudited consolidated statements of financial position. There is no financial collateral (including cash collateral) provided or received by us related to our foreign exchange forward contracts.</w:t>
      </w:r>
    </w:p>
    <w:p>
      <w:pPr>
        <w:spacing w:after="0" w:line="2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jc w:val="right"/>
        <w:ind w:righ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34925</wp:posOffset>
            </wp:positionV>
            <wp:extent cx="37547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6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20320</wp:posOffset>
            </wp:positionV>
            <wp:extent cx="26231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6"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auto"/>
        </w:rPr>
        <w:t>March 31, 2021</w:t>
      </w:r>
      <w:r>
        <w:rPr>
          <w:sz w:val="20"/>
          <w:szCs w:val="20"/>
          <w:color w:val="auto"/>
        </w:rPr>
        <w:tab/>
      </w:r>
      <w:r>
        <w:rPr>
          <w:rFonts w:ascii="Arial" w:cs="Arial" w:eastAsia="Arial" w:hAnsi="Arial"/>
          <w:sz w:val="14"/>
          <w:szCs w:val="14"/>
          <w:b w:val="1"/>
          <w:bCs w:val="1"/>
          <w:color w:val="auto"/>
        </w:rPr>
        <w:t>December 31, 2020</w:t>
      </w:r>
    </w:p>
    <w:p>
      <w:pPr>
        <w:spacing w:after="0" w:line="26" w:lineRule="exact"/>
        <w:rPr>
          <w:sz w:val="20"/>
          <w:szCs w:val="20"/>
          <w:color w:val="auto"/>
        </w:rPr>
      </w:pPr>
    </w:p>
    <w:p>
      <w:pPr>
        <w:sectPr>
          <w:pgSz w:w="11900" w:h="16838" w:orient="portrait"/>
          <w:cols w:equalWidth="0" w:num="2">
            <w:col w:w="6260" w:space="720"/>
            <w:col w:w="4260"/>
          </w:cols>
          <w:pgMar w:left="320" w:top="121" w:right="33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5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6,933</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5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560"/>
        <w:spacing w:after="0"/>
        <w:rPr>
          <w:sz w:val="20"/>
          <w:szCs w:val="20"/>
          <w:color w:val="auto"/>
        </w:rPr>
      </w:pPr>
      <w:r>
        <w:rPr>
          <w:rFonts w:ascii="Arial" w:cs="Arial" w:eastAsia="Arial" w:hAnsi="Arial"/>
          <w:sz w:val="14"/>
          <w:szCs w:val="14"/>
          <w:b w:val="1"/>
          <w:bCs w:val="1"/>
          <w:color w:val="auto"/>
        </w:rPr>
        <w:t>Derivatives not designated as hedging instruments: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jc w:val="center"/>
        <w:ind w:right="96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20320</wp:posOffset>
            </wp:positionV>
            <wp:extent cx="64465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46520" cy="145415"/>
                    </a:xfrm>
                    <a:prstGeom prst="rect">
                      <a:avLst/>
                    </a:prstGeom>
                    <a:noFill/>
                  </pic:spPr>
                </pic:pic>
              </a:graphicData>
            </a:graphic>
          </wp:anchor>
        </w:drawing>
      </w:r>
    </w:p>
    <w:p>
      <w:pPr>
        <w:spacing w:after="0" w:line="25"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auto"/>
        </w:rPr>
        <w:t>March 31, 2021</w:t>
      </w:r>
      <w:r>
        <w:rPr>
          <w:sz w:val="20"/>
          <w:szCs w:val="20"/>
          <w:color w:val="auto"/>
        </w:rPr>
        <w:tab/>
      </w:r>
      <w:r>
        <w:rPr>
          <w:rFonts w:ascii="Arial" w:cs="Arial" w:eastAsia="Arial" w:hAnsi="Arial"/>
          <w:sz w:val="14"/>
          <w:szCs w:val="14"/>
          <w:b w:val="1"/>
          <w:bCs w:val="1"/>
          <w:color w:val="auto"/>
        </w:rPr>
        <w:t>December 31, 2020</w:t>
      </w:r>
    </w:p>
    <w:p>
      <w:pPr>
        <w:spacing w:after="0" w:line="26" w:lineRule="exact"/>
        <w:rPr>
          <w:sz w:val="20"/>
          <w:szCs w:val="20"/>
          <w:color w:val="auto"/>
        </w:rPr>
      </w:pPr>
    </w:p>
    <w:p>
      <w:pPr>
        <w:sectPr>
          <w:pgSz w:w="11900" w:h="16838" w:orient="portrait"/>
          <w:cols w:equalWidth="0" w:num="2">
            <w:col w:w="6260" w:space="720"/>
            <w:col w:w="4260"/>
          </w:cols>
          <w:pgMar w:left="320" w:top="121" w:right="33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5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bl>
    <w:p>
      <w:pPr>
        <w:spacing w:after="0" w:line="31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and accumulated other comprehensive loss for the three months ended March 31, 2021 and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340" w:type="dxa"/>
            <w:vAlign w:val="bottom"/>
          </w:tcPr>
          <w:p>
            <w:pPr>
              <w:spacing w:after="0"/>
              <w:rPr>
                <w:sz w:val="18"/>
                <w:szCs w:val="18"/>
                <w:color w:val="auto"/>
              </w:rPr>
            </w:pPr>
          </w:p>
        </w:tc>
        <w:tc>
          <w:tcPr>
            <w:tcW w:w="5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Forward Exchange Contracts:</w:t>
            </w:r>
          </w:p>
        </w:tc>
        <w:tc>
          <w:tcPr>
            <w:tcW w:w="22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8"/>
                <w:szCs w:val="18"/>
                <w:color w:val="auto"/>
              </w:rPr>
            </w:pPr>
          </w:p>
        </w:tc>
      </w:tr>
      <w:tr>
        <w:trPr>
          <w:trHeight w:val="212"/>
        </w:trPr>
        <w:tc>
          <w:tcPr>
            <w:tcW w:w="34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Unrealized (loss)/gain recognized in AOCI</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2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(14,846)</w:t>
            </w:r>
          </w:p>
        </w:tc>
        <w:tc>
          <w:tcPr>
            <w:tcW w:w="32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9"/>
              </w:rPr>
              <w:t>Loss recognized in unaudited consolidated statements of income</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(4,214)</w:t>
            </w:r>
          </w:p>
        </w:tc>
        <w:tc>
          <w:tcPr>
            <w:tcW w:w="320" w:type="dxa"/>
            <w:vAlign w:val="bottom"/>
          </w:tcPr>
          <w:p>
            <w:pPr>
              <w:spacing w:after="0"/>
              <w:rPr>
                <w:sz w:val="20"/>
                <w:szCs w:val="20"/>
                <w:color w:val="auto"/>
              </w:rPr>
            </w:pPr>
          </w:p>
        </w:tc>
      </w:tr>
      <w:tr>
        <w:trPr>
          <w:trHeight w:val="904"/>
        </w:trPr>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240" w:type="dxa"/>
            <w:vAlign w:val="bottom"/>
          </w:tcPr>
          <w:p>
            <w:pPr>
              <w:jc w:val="right"/>
              <w:ind w:right="18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20" w:right="1260"/>
        <w:spacing w:after="0" w:line="245" w:lineRule="auto"/>
        <w:rPr>
          <w:sz w:val="20"/>
          <w:szCs w:val="20"/>
          <w:color w:val="auto"/>
        </w:rPr>
      </w:pPr>
      <w:r>
        <w:rPr>
          <w:rFonts w:ascii="Arial" w:cs="Arial" w:eastAsia="Arial" w:hAnsi="Arial"/>
          <w:sz w:val="16"/>
          <w:szCs w:val="16"/>
          <w:b w:val="1"/>
          <w:bCs w:val="1"/>
          <w:color w:val="auto"/>
        </w:rPr>
        <w:t>Location and amount of gain/(loss) recognized in unaudited consolidated statements of income for cash flow hedging relationships and derivatives not designated as hedging instruments</w:t>
      </w:r>
    </w:p>
    <w:tbl>
      <w:tblPr>
        <w:tblLayout w:type="fixed"/>
        <w:tblInd w:w="700" w:type="dxa"/>
        <w:tblCellMar>
          <w:top w:w="0" w:type="dxa"/>
          <w:left w:w="0" w:type="dxa"/>
          <w:bottom w:w="0" w:type="dxa"/>
          <w:right w:w="0" w:type="dxa"/>
        </w:tblCellMar>
      </w:tblPr>
      <w:tr>
        <w:trPr>
          <w:trHeight w:val="210"/>
        </w:trPr>
        <w:tc>
          <w:tcPr>
            <w:tcW w:w="4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r>
      <w:tr>
        <w:trPr>
          <w:trHeight w:val="209"/>
        </w:trPr>
        <w:tc>
          <w:tcPr>
            <w:tcW w:w="4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200" w:type="dxa"/>
            <w:vAlign w:val="bottom"/>
            <w:tcBorders>
              <w:bottom w:val="single" w:sz="8" w:color="auto"/>
            </w:tcBorders>
          </w:tcPr>
          <w:p>
            <w:pPr>
              <w:spacing w:after="0"/>
              <w:rPr>
                <w:sz w:val="18"/>
                <w:szCs w:val="18"/>
                <w:color w:val="auto"/>
              </w:rPr>
            </w:pPr>
          </w:p>
        </w:tc>
      </w:tr>
      <w:tr>
        <w:trPr>
          <w:trHeight w:val="158"/>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As per unaudited</w:t>
            </w:r>
          </w:p>
        </w:tc>
        <w:tc>
          <w:tcPr>
            <w:tcW w:w="140" w:type="dxa"/>
            <w:vAlign w:val="bottom"/>
          </w:tcPr>
          <w:p>
            <w:pPr>
              <w:spacing w:after="0"/>
              <w:rPr>
                <w:sz w:val="13"/>
                <w:szCs w:val="13"/>
                <w:color w:val="auto"/>
              </w:rPr>
            </w:pPr>
          </w:p>
        </w:tc>
        <w:tc>
          <w:tcPr>
            <w:tcW w:w="118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89"/>
              </w:rPr>
              <w:t>Gain/(loss) on</w:t>
            </w:r>
          </w:p>
        </w:tc>
        <w:tc>
          <w:tcPr>
            <w:tcW w:w="120" w:type="dxa"/>
            <w:vAlign w:val="bottom"/>
          </w:tcPr>
          <w:p>
            <w:pPr>
              <w:spacing w:after="0"/>
              <w:rPr>
                <w:sz w:val="13"/>
                <w:szCs w:val="13"/>
                <w:color w:val="auto"/>
              </w:rPr>
            </w:pPr>
          </w:p>
        </w:tc>
        <w:tc>
          <w:tcPr>
            <w:tcW w:w="142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As per unaudited</w:t>
            </w:r>
          </w:p>
        </w:tc>
        <w:tc>
          <w:tcPr>
            <w:tcW w:w="140" w:type="dxa"/>
            <w:vAlign w:val="bottom"/>
          </w:tcPr>
          <w:p>
            <w:pPr>
              <w:spacing w:after="0"/>
              <w:rPr>
                <w:sz w:val="13"/>
                <w:szCs w:val="13"/>
                <w:color w:val="auto"/>
              </w:rPr>
            </w:pPr>
          </w:p>
        </w:tc>
        <w:tc>
          <w:tcPr>
            <w:tcW w:w="1200" w:type="dxa"/>
            <w:vAlign w:val="bottom"/>
          </w:tcPr>
          <w:p>
            <w:pPr>
              <w:jc w:val="center"/>
              <w:ind w:right="72"/>
              <w:spacing w:after="0" w:line="158" w:lineRule="exact"/>
              <w:rPr>
                <w:sz w:val="20"/>
                <w:szCs w:val="20"/>
                <w:color w:val="auto"/>
              </w:rPr>
            </w:pPr>
            <w:r>
              <w:rPr>
                <w:rFonts w:ascii="Arial" w:cs="Arial" w:eastAsia="Arial" w:hAnsi="Arial"/>
                <w:sz w:val="16"/>
                <w:szCs w:val="16"/>
                <w:b w:val="1"/>
                <w:bCs w:val="1"/>
                <w:color w:val="auto"/>
                <w:w w:val="89"/>
              </w:rPr>
              <w:t>Gain/(loss) on</w:t>
            </w: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144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foreign currency</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13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foreign currency</w:t>
            </w: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6"/>
              </w:rPr>
              <w:t>statements of</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6"/>
              </w:rPr>
              <w:t>exchange</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6"/>
              </w:rPr>
              <w:t>statements of</w:t>
            </w:r>
          </w:p>
        </w:tc>
        <w:tc>
          <w:tcPr>
            <w:tcW w:w="140" w:type="dxa"/>
            <w:vAlign w:val="bottom"/>
          </w:tcPr>
          <w:p>
            <w:pPr>
              <w:spacing w:after="0"/>
              <w:rPr>
                <w:sz w:val="14"/>
                <w:szCs w:val="14"/>
                <w:color w:val="auto"/>
              </w:rPr>
            </w:pPr>
          </w:p>
        </w:tc>
        <w:tc>
          <w:tcPr>
            <w:tcW w:w="120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w w:val="86"/>
              </w:rPr>
              <w:t>exchange</w:t>
            </w:r>
          </w:p>
        </w:tc>
      </w:tr>
      <w:tr>
        <w:trPr>
          <w:trHeight w:val="213"/>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88"/>
              </w:rPr>
              <w:t>contracts</w:t>
            </w:r>
          </w:p>
        </w:tc>
      </w:tr>
      <w:tr>
        <w:trPr>
          <w:trHeight w:val="212"/>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 hedging relationships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175"/>
        </w:trPr>
        <w:tc>
          <w:tcPr>
            <w:tcW w:w="4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Location in unaudited consolidated statements of</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income where gain was reclassed from AOCI</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158,821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162,656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3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Selling and marketing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2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relating to above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3"/>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78"/>
        </w:trPr>
        <w:tc>
          <w:tcPr>
            <w:tcW w:w="42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Location in unaudited consolidated statements of</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where gain/(loss) was recognized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70"/>
        </w:trPr>
        <w:tc>
          <w:tcPr>
            <w:tcW w:w="4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r>
      <w:tr>
        <w:trPr>
          <w:trHeight w:val="223"/>
        </w:trPr>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Borrowings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summarizes the Company’s debt position as of March 31, 2021 and December 31,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portion of long-term borrowings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borrowings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Unamortized debt discount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Unamortized debt issuance costs*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As of March 31,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w w:val="93"/>
              </w:rPr>
              <w:t>Revolving Credit</w:t>
            </w:r>
          </w:p>
        </w:tc>
        <w:tc>
          <w:tcPr>
            <w:tcW w:w="3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b w:val="1"/>
                <w:bCs w:val="1"/>
                <w:color w:val="auto"/>
              </w:rPr>
              <w:t>Notes</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Facility</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25"/>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64,000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214,000</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(10,562)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(10,562)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(751)</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-745490</wp:posOffset>
            </wp:positionV>
            <wp:extent cx="627507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7507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-436245</wp:posOffset>
            </wp:positionV>
            <wp:extent cx="627507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75070" cy="14541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-145415</wp:posOffset>
            </wp:positionV>
            <wp:extent cx="627507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7507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40" w:space="720"/>
            <w:col w:w="5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64,000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138,687</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202,687</w:t>
            </w:r>
          </w:p>
        </w:tc>
        <w:tc>
          <w:tcPr>
            <w:tcW w:w="1360" w:type="dxa"/>
            <w:vAlign w:val="bottom"/>
          </w:tcPr>
          <w:p>
            <w:pPr>
              <w:spacing w:after="0"/>
              <w:rPr>
                <w:sz w:val="18"/>
                <w:szCs w:val="18"/>
                <w:color w:val="auto"/>
              </w:rPr>
            </w:pPr>
          </w:p>
        </w:tc>
      </w:tr>
      <w:tr>
        <w:trPr>
          <w:trHeight w:val="221"/>
        </w:trPr>
        <w:tc>
          <w:tcPr>
            <w:tcW w:w="53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borrowings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89,000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138,687</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227,687</w:t>
            </w:r>
          </w:p>
        </w:tc>
        <w:tc>
          <w:tcPr>
            <w:tcW w:w="1360" w:type="dxa"/>
            <w:vAlign w:val="bottom"/>
          </w:tcPr>
          <w:p>
            <w:pPr>
              <w:spacing w:after="0"/>
              <w:rPr>
                <w:sz w:val="18"/>
                <w:szCs w:val="18"/>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84"/>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ind w:right="1330"/>
              <w:spacing w:after="0"/>
              <w:rPr>
                <w:sz w:val="20"/>
                <w:szCs w:val="20"/>
                <w:color w:val="auto"/>
              </w:rPr>
            </w:pPr>
            <w:r>
              <w:rPr>
                <w:rFonts w:ascii="Arial" w:cs="Arial" w:eastAsia="Arial" w:hAnsi="Arial"/>
                <w:sz w:val="18"/>
                <w:szCs w:val="18"/>
                <w:color w:val="auto"/>
                <w:w w:val="99"/>
              </w:rPr>
              <w:t>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b w:val="1"/>
                <w:bCs w:val="1"/>
                <w:color w:val="auto"/>
                <w:w w:val="89"/>
              </w:rPr>
              <w:t>As of December 31, 2020</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156"/>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280"/>
              <w:spacing w:after="0" w:line="156" w:lineRule="exact"/>
              <w:rPr>
                <w:sz w:val="20"/>
                <w:szCs w:val="20"/>
                <w:color w:val="auto"/>
              </w:rPr>
            </w:pPr>
            <w:r>
              <w:rPr>
                <w:rFonts w:ascii="Arial" w:cs="Arial" w:eastAsia="Arial" w:hAnsi="Arial"/>
                <w:sz w:val="18"/>
                <w:szCs w:val="18"/>
                <w:b w:val="1"/>
                <w:bCs w:val="1"/>
                <w:color w:val="auto"/>
                <w:w w:val="90"/>
              </w:rPr>
              <w:t>Revolving Credit</w:t>
            </w:r>
          </w:p>
        </w:tc>
        <w:tc>
          <w:tcPr>
            <w:tcW w:w="260" w:type="dxa"/>
            <w:vAlign w:val="bottom"/>
          </w:tcPr>
          <w:p>
            <w:pPr>
              <w:spacing w:after="0"/>
              <w:rPr>
                <w:sz w:val="13"/>
                <w:szCs w:val="13"/>
                <w:color w:val="auto"/>
              </w:rPr>
            </w:pPr>
          </w:p>
        </w:tc>
        <w:tc>
          <w:tcPr>
            <w:tcW w:w="1100" w:type="dxa"/>
            <w:vAlign w:val="bottom"/>
            <w:gridSpan w:val="2"/>
          </w:tcPr>
          <w:p>
            <w:pPr>
              <w:ind w:left="160"/>
              <w:spacing w:after="0" w:line="156" w:lineRule="exact"/>
              <w:rPr>
                <w:sz w:val="20"/>
                <w:szCs w:val="20"/>
                <w:color w:val="auto"/>
              </w:rPr>
            </w:pPr>
            <w:r>
              <w:rPr>
                <w:rFonts w:ascii="Arial" w:cs="Arial" w:eastAsia="Arial" w:hAnsi="Arial"/>
                <w:sz w:val="18"/>
                <w:szCs w:val="18"/>
                <w:b w:val="1"/>
                <w:bCs w:val="1"/>
                <w:color w:val="auto"/>
              </w:rPr>
              <w:t>Notes</w:t>
            </w:r>
          </w:p>
        </w:tc>
        <w:tc>
          <w:tcPr>
            <w:tcW w:w="50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Total</w:t>
            </w:r>
          </w:p>
        </w:tc>
        <w:tc>
          <w:tcPr>
            <w:tcW w:w="780" w:type="dxa"/>
            <w:vAlign w:val="bottom"/>
          </w:tcPr>
          <w:p>
            <w:pPr>
              <w:spacing w:after="0"/>
              <w:rPr>
                <w:sz w:val="13"/>
                <w:szCs w:val="13"/>
                <w:color w:val="auto"/>
              </w:rPr>
            </w:pPr>
          </w:p>
        </w:tc>
      </w:tr>
      <w:tr>
        <w:trPr>
          <w:trHeight w:val="189"/>
        </w:trPr>
        <w:tc>
          <w:tcPr>
            <w:tcW w:w="5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3"/>
              </w:rPr>
              <w:t>Facility</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borrowings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196"/>
        </w:trPr>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(11,235)</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137,961</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201,961</w:t>
            </w: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137,961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226,961</w:t>
            </w:r>
          </w:p>
        </w:tc>
      </w:tr>
    </w:tbl>
    <w:p>
      <w:pPr>
        <w:spacing w:after="0" w:line="33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*Unamortized debt issuance costs for the Company’s revolving Credit Facility of $426 and $490 as of March 31, 2021 and December 31, 2020, respectively, is presented under “Other current assets” and “Other assets” in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$300,000 revolving credit facility pursuant to its credit agreement (the “Credit Agreement”) with certain lenders and Citibank N.A.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(the “Credit Facility”) carried an effective interest rate as shown below.</w:t>
      </w:r>
    </w:p>
    <w:p>
      <w:pPr>
        <w:spacing w:after="0" w:line="246"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Three months ended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132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10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2020</w:t>
            </w:r>
          </w:p>
        </w:tc>
      </w:tr>
      <w:tr>
        <w:trPr>
          <w:trHeight w:val="230"/>
        </w:trPr>
        <w:tc>
          <w:tcPr>
            <w:tcW w:w="7640" w:type="dxa"/>
            <w:vAlign w:val="bottom"/>
            <w:gridSpan w:val="2"/>
            <w:shd w:val="clear" w:color="auto" w:fill="CCEEFF"/>
          </w:tcPr>
          <w:p>
            <w:pPr>
              <w:jc w:val="right"/>
              <w:ind w:right="5910"/>
              <w:spacing w:after="0"/>
              <w:rPr>
                <w:sz w:val="20"/>
                <w:szCs w:val="20"/>
                <w:color w:val="auto"/>
              </w:rPr>
            </w:pPr>
            <w:r>
              <w:rPr>
                <w:rFonts w:ascii="Arial" w:cs="Arial" w:eastAsia="Arial" w:hAnsi="Arial"/>
                <w:sz w:val="18"/>
                <w:szCs w:val="18"/>
                <w:color w:val="auto"/>
                <w:w w:val="91"/>
              </w:rPr>
              <w:t>Effective Interest Rate</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200" w:lineRule="exact"/>
        <w:rPr>
          <w:sz w:val="20"/>
          <w:szCs w:val="20"/>
          <w:color w:val="auto"/>
        </w:rPr>
      </w:pPr>
    </w:p>
    <w:p>
      <w:pPr>
        <w:spacing w:after="0" w:line="272"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As of March 31, 2021 and December 31, 2020, the Company was in compliance with all financial and non-financial covenants listed under the Credit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39"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On October 1, 2018, the Company entered into an investment agreement (the “Investment Agreement”) with Orogen Echo LLC (the “Purchaser”), an affiliate of The Orogen Group LLC, relating to the issuance to the Purchaser of $150,000 in an aggregate principal amount of 3.50% per annum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Until October 4, 2020, under the Investment Agreement, the Purchaser was restricted from transferring the Notes or any shares of common stock issuable upon conversion of the Notes, or entering into any transaction that transfers such interests to a third party. The Notes carried an effective interest rate as shown below:</w:t>
      </w:r>
    </w:p>
    <w:p>
      <w:pPr>
        <w:spacing w:after="0" w:line="254"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19"/>
                <w:szCs w:val="19"/>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30"/>
        </w:trPr>
        <w:tc>
          <w:tcPr>
            <w:tcW w:w="7280" w:type="dxa"/>
            <w:vAlign w:val="bottom"/>
            <w:gridSpan w:val="2"/>
            <w:shd w:val="clear" w:color="auto" w:fill="CCEEFF"/>
          </w:tcPr>
          <w:p>
            <w:pPr>
              <w:jc w:val="right"/>
              <w:ind w:right="5550"/>
              <w:spacing w:after="0"/>
              <w:rPr>
                <w:sz w:val="20"/>
                <w:szCs w:val="20"/>
                <w:color w:val="auto"/>
              </w:rPr>
            </w:pPr>
            <w:r>
              <w:rPr>
                <w:rFonts w:ascii="Arial" w:cs="Arial" w:eastAsia="Arial" w:hAnsi="Arial"/>
                <w:sz w:val="18"/>
                <w:szCs w:val="18"/>
                <w:color w:val="auto"/>
                <w:w w:val="91"/>
              </w:rPr>
              <w:t>Effective Interest Rate</w:t>
            </w:r>
          </w:p>
        </w:tc>
        <w:tc>
          <w:tcPr>
            <w:tcW w:w="1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3.7 %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bl>
    <w:p>
      <w:pPr>
        <w:spacing w:after="0" w:line="337"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During the three months ended March 31, 2021 and 2020, the Company recognized interest expense and amortization of debt discount, on the Notes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151765</wp:posOffset>
            </wp:positionV>
            <wp:extent cx="198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13"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Three months ended</w:t>
      </w:r>
    </w:p>
    <w:p>
      <w:pPr>
        <w:jc w:val="center"/>
        <w:ind w:left="43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26"/>
        </w:trPr>
        <w:tc>
          <w:tcPr>
            <w:tcW w:w="6220" w:type="dxa"/>
            <w:vAlign w:val="bottom"/>
          </w:tcPr>
          <w:p>
            <w:pPr>
              <w:ind w:left="20"/>
              <w:spacing w:after="0"/>
              <w:rPr>
                <w:sz w:val="20"/>
                <w:szCs w:val="20"/>
                <w:color w:val="auto"/>
              </w:rPr>
            </w:pPr>
            <w:r>
              <w:rPr>
                <w:rFonts w:ascii="Arial" w:cs="Arial" w:eastAsia="Arial" w:hAnsi="Arial"/>
                <w:sz w:val="18"/>
                <w:szCs w:val="18"/>
                <w:color w:val="auto"/>
              </w:rPr>
              <w:t>Interest expense on the Notes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 on the Notes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Payments / maturities for all of the Company's borrowings as of March 31, 2021 were as follows:</w:t>
      </w:r>
    </w:p>
    <w:p>
      <w:pPr>
        <w:spacing w:after="0" w:line="100"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Revolving Credit</w:t>
            </w:r>
          </w:p>
        </w:tc>
        <w:tc>
          <w:tcPr>
            <w:tcW w:w="320" w:type="dxa"/>
            <w:vAlign w:val="bottom"/>
          </w:tcPr>
          <w:p>
            <w:pPr>
              <w:spacing w:after="0"/>
              <w:rPr>
                <w:sz w:val="17"/>
                <w:szCs w:val="17"/>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Notes</w:t>
            </w:r>
          </w:p>
        </w:tc>
        <w:tc>
          <w:tcPr>
            <w:tcW w:w="260" w:type="dxa"/>
            <w:vAlign w:val="bottom"/>
          </w:tcPr>
          <w:p>
            <w:pPr>
              <w:spacing w:after="0"/>
              <w:rPr>
                <w:sz w:val="11"/>
                <w:szCs w:val="11"/>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3"/>
              </w:rPr>
              <w:t>Facility</w:t>
            </w:r>
          </w:p>
        </w:tc>
        <w:tc>
          <w:tcPr>
            <w:tcW w:w="3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(April - December)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3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the ordinary course of business, the Company provides standby letters of credit to third parties primarily for facility leases. As of March 31, 2021 and December 31, 2020, the Company had outstanding letters of credit of $461, each, that were not recognized in the consolidated balance sheets.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239" w:lineRule="exact"/>
        <w:rPr>
          <w:sz w:val="20"/>
          <w:szCs w:val="20"/>
          <w:color w:val="auto"/>
        </w:rPr>
      </w:pPr>
    </w:p>
    <w:p>
      <w:pPr>
        <w:jc w:val="both"/>
        <w:ind w:firstLine="445"/>
        <w:spacing w:after="0" w:line="235" w:lineRule="auto"/>
        <w:rPr>
          <w:sz w:val="20"/>
          <w:szCs w:val="20"/>
          <w:color w:val="auto"/>
        </w:rPr>
      </w:pPr>
      <w:r>
        <w:rPr>
          <w:rFonts w:ascii="Arial" w:cs="Arial" w:eastAsia="Arial" w:hAnsi="Arial"/>
          <w:sz w:val="18"/>
          <w:szCs w:val="18"/>
          <w:color w:val="auto"/>
        </w:rPr>
        <w:t>The Company purchased shares of common stock from employees in connection with withholding tax payments related to the vesting of restricted stock units and performance-based restricted stock units, as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8"/>
                <w:szCs w:val="18"/>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60" w:type="dxa"/>
            <w:vAlign w:val="bottom"/>
          </w:tcPr>
          <w:p>
            <w:pPr>
              <w:spacing w:after="0"/>
              <w:rPr>
                <w:sz w:val="18"/>
                <w:szCs w:val="18"/>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81"/>
        </w:trPr>
        <w:tc>
          <w:tcPr>
            <w:tcW w:w="626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740" w:type="dxa"/>
            <w:vAlign w:val="bottom"/>
            <w:vMerge w:val="restart"/>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purchase price per</w:t>
            </w:r>
          </w:p>
        </w:tc>
        <w:tc>
          <w:tcPr>
            <w:tcW w:w="0" w:type="dxa"/>
            <w:vAlign w:val="bottom"/>
          </w:tcPr>
          <w:p>
            <w:pPr>
              <w:spacing w:after="0"/>
              <w:rPr>
                <w:sz w:val="1"/>
                <w:szCs w:val="1"/>
                <w:color w:val="auto"/>
              </w:rPr>
            </w:pPr>
          </w:p>
        </w:tc>
      </w:tr>
      <w:tr>
        <w:trPr>
          <w:trHeight w:val="95"/>
        </w:trPr>
        <w:tc>
          <w:tcPr>
            <w:tcW w:w="6260" w:type="dxa"/>
            <w:vAlign w:val="bottom"/>
          </w:tcPr>
          <w:p>
            <w:pPr>
              <w:spacing w:after="0"/>
              <w:rPr>
                <w:sz w:val="8"/>
                <w:szCs w:val="8"/>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repurchased</w:t>
            </w:r>
          </w:p>
        </w:tc>
        <w:tc>
          <w:tcPr>
            <w:tcW w:w="140" w:type="dxa"/>
            <w:vAlign w:val="bottom"/>
          </w:tcPr>
          <w:p>
            <w:pPr>
              <w:spacing w:after="0"/>
              <w:rPr>
                <w:sz w:val="8"/>
                <w:szCs w:val="8"/>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consideration</w:t>
            </w:r>
          </w:p>
        </w:tc>
        <w:tc>
          <w:tcPr>
            <w:tcW w:w="16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center"/>
              <w:ind w:right="90"/>
              <w:spacing w:after="0" w:line="230" w:lineRule="exact"/>
              <w:rPr>
                <w:sz w:val="20"/>
                <w:szCs w:val="20"/>
                <w:color w:val="auto"/>
              </w:rPr>
            </w:pPr>
            <w:r>
              <w:rPr>
                <w:rFonts w:ascii="Arial" w:cs="Arial" w:eastAsia="Arial" w:hAnsi="Arial"/>
                <w:sz w:val="18"/>
                <w:szCs w:val="18"/>
                <w:b w:val="1"/>
                <w:bCs w:val="1"/>
                <w:color w:val="auto"/>
                <w:w w:val="83"/>
              </w:rPr>
              <w:t xml:space="preserve">share </w:t>
            </w:r>
            <w:r>
              <w:rPr>
                <w:rFonts w:ascii="Arial" w:cs="Arial" w:eastAsia="Arial" w:hAnsi="Arial"/>
                <w:sz w:val="23"/>
                <w:szCs w:val="23"/>
                <w:b w:val="1"/>
                <w:bCs w:val="1"/>
                <w:color w:val="auto"/>
                <w:w w:val="83"/>
                <w:vertAlign w:val="superscript"/>
              </w:rPr>
              <w:t>(1)</w:t>
            </w: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2021</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Three months ended March 31, 2020</w:t>
            </w:r>
          </w:p>
        </w:tc>
        <w:tc>
          <w:tcPr>
            <w:tcW w:w="1400" w:type="dxa"/>
            <w:vAlign w:val="bottom"/>
          </w:tcPr>
          <w:p>
            <w:pPr>
              <w:jc w:val="right"/>
              <w:spacing w:after="0"/>
              <w:rPr>
                <w:sz w:val="20"/>
                <w:szCs w:val="20"/>
                <w:color w:val="auto"/>
              </w:rPr>
            </w:pPr>
            <w:r>
              <w:rPr>
                <w:rFonts w:ascii="Arial" w:cs="Arial" w:eastAsia="Arial" w:hAnsi="Arial"/>
                <w:sz w:val="18"/>
                <w:szCs w:val="18"/>
                <w:color w:val="auto"/>
              </w:rPr>
              <w:t>26,601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On December 16, 2019, the Company’s Board of Directors authorized a $200,000 common stock repurchase program beginning January 1, 2020 through December 31, 2022 (the "2019 Repurchase Program"). Under the 2019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purchased shares of its common stock, including commissions, under the 2019 Repurchase Program, as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 average</w:t>
            </w:r>
          </w:p>
        </w:tc>
        <w:tc>
          <w:tcPr>
            <w:tcW w:w="0" w:type="dxa"/>
            <w:vAlign w:val="bottom"/>
          </w:tcPr>
          <w:p>
            <w:pPr>
              <w:spacing w:after="0"/>
              <w:rPr>
                <w:sz w:val="1"/>
                <w:szCs w:val="1"/>
                <w:color w:val="auto"/>
              </w:rPr>
            </w:pPr>
          </w:p>
        </w:tc>
      </w:tr>
      <w:tr>
        <w:trPr>
          <w:trHeight w:val="81"/>
        </w:trPr>
        <w:tc>
          <w:tcPr>
            <w:tcW w:w="586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760" w:type="dxa"/>
            <w:vAlign w:val="bottom"/>
            <w:gridSpan w:val="3"/>
            <w:vMerge w:val="restart"/>
          </w:tcPr>
          <w:p>
            <w:pPr>
              <w:ind w:left="100"/>
              <w:spacing w:after="0" w:line="176" w:lineRule="exact"/>
              <w:rPr>
                <w:sz w:val="20"/>
                <w:szCs w:val="20"/>
                <w:color w:val="auto"/>
              </w:rPr>
            </w:pPr>
            <w:r>
              <w:rPr>
                <w:rFonts w:ascii="Arial" w:cs="Arial" w:eastAsia="Arial" w:hAnsi="Arial"/>
                <w:sz w:val="18"/>
                <w:szCs w:val="18"/>
                <w:b w:val="1"/>
                <w:bCs w:val="1"/>
                <w:color w:val="auto"/>
                <w:w w:val="98"/>
              </w:rPr>
              <w:t>Total consideration</w:t>
            </w:r>
          </w:p>
        </w:tc>
        <w:tc>
          <w:tcPr>
            <w:tcW w:w="140" w:type="dxa"/>
            <w:vAlign w:val="bottom"/>
          </w:tcPr>
          <w:p>
            <w:pPr>
              <w:spacing w:after="0"/>
              <w:rPr>
                <w:sz w:val="7"/>
                <w:szCs w:val="7"/>
                <w:color w:val="auto"/>
              </w:rPr>
            </w:pPr>
          </w:p>
        </w:tc>
        <w:tc>
          <w:tcPr>
            <w:tcW w:w="1620" w:type="dxa"/>
            <w:vAlign w:val="bottom"/>
            <w:vMerge w:val="restart"/>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purchase price per</w:t>
            </w:r>
          </w:p>
        </w:tc>
        <w:tc>
          <w:tcPr>
            <w:tcW w:w="0" w:type="dxa"/>
            <w:vAlign w:val="bottom"/>
          </w:tcPr>
          <w:p>
            <w:pPr>
              <w:spacing w:after="0"/>
              <w:rPr>
                <w:sz w:val="1"/>
                <w:szCs w:val="1"/>
                <w:color w:val="auto"/>
              </w:rPr>
            </w:pPr>
          </w:p>
        </w:tc>
      </w:tr>
      <w:tr>
        <w:trPr>
          <w:trHeight w:val="95"/>
        </w:trPr>
        <w:tc>
          <w:tcPr>
            <w:tcW w:w="5860" w:type="dxa"/>
            <w:vAlign w:val="bottom"/>
          </w:tcPr>
          <w:p>
            <w:pPr>
              <w:spacing w:after="0"/>
              <w:rPr>
                <w:sz w:val="8"/>
                <w:szCs w:val="8"/>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repurchased</w:t>
            </w:r>
          </w:p>
        </w:tc>
        <w:tc>
          <w:tcPr>
            <w:tcW w:w="17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83"/>
              </w:rPr>
              <w:t xml:space="preserve">share </w:t>
            </w:r>
            <w:r>
              <w:rPr>
                <w:rFonts w:ascii="Arial" w:cs="Arial" w:eastAsia="Arial" w:hAnsi="Arial"/>
                <w:sz w:val="23"/>
                <w:szCs w:val="23"/>
                <w:b w:val="1"/>
                <w:bCs w:val="1"/>
                <w:color w:val="auto"/>
                <w:w w:val="83"/>
                <w:vertAlign w:val="superscript"/>
              </w:rPr>
              <w:t>(1)</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313,032</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Three months ended March 31, 2020</w:t>
            </w:r>
          </w:p>
        </w:tc>
        <w:tc>
          <w:tcPr>
            <w:tcW w:w="1460" w:type="dxa"/>
            <w:vAlign w:val="bottom"/>
          </w:tcPr>
          <w:p>
            <w:pPr>
              <w:jc w:val="right"/>
              <w:spacing w:after="0"/>
              <w:rPr>
                <w:sz w:val="20"/>
                <w:szCs w:val="20"/>
                <w:color w:val="auto"/>
              </w:rPr>
            </w:pPr>
            <w:r>
              <w:rPr>
                <w:rFonts w:ascii="Arial" w:cs="Arial" w:eastAsia="Arial" w:hAnsi="Arial"/>
                <w:sz w:val="18"/>
                <w:szCs w:val="18"/>
                <w:color w:val="auto"/>
              </w:rPr>
              <w:t>175,765</w:t>
            </w:r>
          </w:p>
        </w:tc>
        <w:tc>
          <w:tcPr>
            <w:tcW w:w="1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11,983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firstLine="413"/>
        <w:spacing w:after="0" w:line="260" w:lineRule="auto"/>
        <w:tabs>
          <w:tab w:leader="none" w:pos="57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The weighted average purchase price per share was the closing price of the Company's share of common stock on the Nasdaq Global Select Market on the trading day prior to the vesting date of the shares of restricted stock.</w:t>
      </w:r>
    </w:p>
    <w:p>
      <w:pPr>
        <w:spacing w:after="0" w:line="184"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Repurchased shares have been recorded as treasury shares and will be held until the Company’s Board of Directors designates that these shares be retired or used for other purposes.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2019 Repurchase Program may be suspended or discontinued at any time.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Employee Benefit Plans</w:t>
      </w:r>
    </w:p>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net periodic benefit costs, were as follows:</w:t>
      </w:r>
    </w:p>
    <w:p>
      <w:pPr>
        <w:spacing w:after="0" w:line="136"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7"/>
        </w:trPr>
        <w:tc>
          <w:tcPr>
            <w:tcW w:w="65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224"/>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w:t>
            </w:r>
          </w:p>
        </w:tc>
      </w:tr>
      <w:tr>
        <w:trPr>
          <w:trHeight w:val="23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actuarial loss, gross of tax</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gratuity cost</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on amortization of actuarial loss</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540" w:type="dxa"/>
            <w:vAlign w:val="bottom"/>
          </w:tcPr>
          <w:p>
            <w:pPr>
              <w:ind w:left="20"/>
              <w:spacing w:after="0"/>
              <w:rPr>
                <w:sz w:val="20"/>
                <w:szCs w:val="20"/>
                <w:color w:val="auto"/>
              </w:rPr>
            </w:pPr>
            <w:r>
              <w:rPr>
                <w:rFonts w:ascii="Arial" w:cs="Arial" w:eastAsia="Arial" w:hAnsi="Arial"/>
                <w:sz w:val="18"/>
                <w:szCs w:val="18"/>
                <w:color w:val="auto"/>
              </w:rPr>
              <w:t>Amortization of actuarial loss, net of tax</w:t>
            </w:r>
          </w:p>
        </w:tc>
        <w:tc>
          <w:tcPr>
            <w:tcW w:w="92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bl>
    <w:p>
      <w:pPr>
        <w:spacing w:after="0" w:line="200" w:lineRule="exact"/>
        <w:rPr>
          <w:sz w:val="20"/>
          <w:szCs w:val="20"/>
          <w:color w:val="auto"/>
        </w:rPr>
      </w:pPr>
    </w:p>
    <w:p>
      <w:pPr>
        <w:spacing w:after="0" w:line="3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The India Plan is partially funded whereas the Philippines plan is unfunded. The Company makes annual contributions to the employees' gratuity fund of the India Plan established with Life Insurance Corporation of India and HDFC Standard Life Insurance Company. Fund managers manage these funds and calculate the annual contribution required to be made by the Company and manage the India Plan, including any required payouts. These funds are managed on a cash accumulation basis and interest is declared retrospectively on March 31 of each year. The Company expects to earn a return of approximately 7.0% per annum on the India Plan for the year ended December 31, 2021.</w:t>
      </w:r>
    </w:p>
    <w:p>
      <w:pPr>
        <w:spacing w:after="0" w:line="332"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assets at January 1, 2021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Actual return</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Plan assets at March 31, 2021</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w:t>
            </w:r>
          </w:p>
        </w:tc>
      </w:tr>
      <w:tr>
        <w:trPr>
          <w:trHeight w:val="20"/>
        </w:trPr>
        <w:tc>
          <w:tcPr>
            <w:tcW w:w="7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4.0% of employee compensation within certain limits.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accrual for contributions to the 401(k) Plans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32385</wp:posOffset>
            </wp:positionV>
            <wp:extent cx="20148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35" w:lineRule="exact"/>
        <w:rPr>
          <w:sz w:val="20"/>
          <w:szCs w:val="20"/>
          <w:color w:val="auto"/>
        </w:rPr>
      </w:pPr>
    </w:p>
    <w:p>
      <w:pPr>
        <w:ind w:left="7220"/>
        <w:spacing w:after="0"/>
        <w:tabs>
          <w:tab w:leader="none" w:pos="88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2407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660" w:val="left"/>
          <w:tab w:leader="none" w:pos="7580" w:val="left"/>
          <w:tab w:leader="none" w:pos="8180" w:val="left"/>
          <w:tab w:leader="none" w:pos="9480" w:val="left"/>
        </w:tabs>
        <w:rPr>
          <w:sz w:val="20"/>
          <w:szCs w:val="20"/>
          <w:color w:val="auto"/>
        </w:rPr>
      </w:pPr>
      <w:r>
        <w:rPr>
          <w:rFonts w:ascii="Arial" w:cs="Arial" w:eastAsia="Arial" w:hAnsi="Arial"/>
          <w:sz w:val="18"/>
          <w:szCs w:val="18"/>
          <w:color w:val="auto"/>
        </w:rPr>
        <w:t>Contribution to the 401(k) Plan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1,299</w:t>
        <w:tab/>
        <w:t>$</w:t>
      </w:r>
      <w:r>
        <w:rPr>
          <w:sz w:val="20"/>
          <w:szCs w:val="20"/>
          <w:color w:val="auto"/>
        </w:rPr>
        <w:tab/>
      </w:r>
      <w:r>
        <w:rPr>
          <w:rFonts w:ascii="Arial" w:cs="Arial" w:eastAsia="Arial" w:hAnsi="Arial"/>
          <w:sz w:val="15"/>
          <w:szCs w:val="15"/>
          <w:color w:val="auto"/>
        </w:rPr>
        <w:t>226</w:t>
      </w:r>
    </w:p>
    <w:p>
      <w:pPr>
        <w:spacing w:after="0" w:line="252"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The Company's contribution for various defined benefit plans on behalf of employees in India, the Philippines, the Czech Republic, South Africa, Colombia, Australia and Singapore were as follows:</w:t>
      </w:r>
    </w:p>
    <w:p>
      <w:pPr>
        <w:spacing w:after="0" w:line="230"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23495</wp:posOffset>
            </wp:positionV>
            <wp:extent cx="2168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2" w:lineRule="exact"/>
        <w:rPr>
          <w:sz w:val="20"/>
          <w:szCs w:val="20"/>
          <w:color w:val="auto"/>
        </w:rPr>
      </w:pPr>
    </w:p>
    <w:p>
      <w:pPr>
        <w:ind w:left="7560"/>
        <w:spacing w:after="0"/>
        <w:tabs>
          <w:tab w:leader="none" w:pos="9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ind w:left="20"/>
        <w:spacing w:after="0"/>
        <w:tabs>
          <w:tab w:leader="none" w:pos="6880" w:val="left"/>
          <w:tab w:leader="none" w:pos="8040" w:val="left"/>
          <w:tab w:leader="none" w:pos="8640" w:val="left"/>
          <w:tab w:leader="none" w:pos="9800" w:val="left"/>
        </w:tabs>
        <w:rPr>
          <w:sz w:val="20"/>
          <w:szCs w:val="20"/>
          <w:color w:val="auto"/>
        </w:rPr>
      </w:pPr>
      <w:r>
        <w:rPr>
          <w:rFonts w:ascii="Arial" w:cs="Arial" w:eastAsia="Arial" w:hAnsi="Arial"/>
          <w:sz w:val="18"/>
          <w:szCs w:val="18"/>
          <w:color w:val="auto"/>
        </w:rPr>
        <w:t>Contributions to the defined benefit plans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3,294</w:t>
        <w:tab/>
        <w:t>$</w:t>
      </w:r>
      <w:r>
        <w:rPr>
          <w:sz w:val="20"/>
          <w:szCs w:val="20"/>
          <w:color w:val="auto"/>
        </w:rPr>
        <w:tab/>
      </w:r>
      <w:r>
        <w:rPr>
          <w:rFonts w:ascii="Arial" w:cs="Arial" w:eastAsia="Arial" w:hAnsi="Arial"/>
          <w:sz w:val="15"/>
          <w:szCs w:val="15"/>
          <w:color w:val="auto"/>
        </w:rPr>
        <w:t>2,977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53224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32245" cy="154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w:t>
      </w:r>
    </w:p>
    <w:p>
      <w:pPr>
        <w:spacing w:after="0" w:line="256" w:lineRule="exact"/>
        <w:rPr>
          <w:sz w:val="20"/>
          <w:szCs w:val="20"/>
          <w:color w:val="auto"/>
        </w:rPr>
      </w:pPr>
    </w:p>
    <w:p>
      <w:pPr>
        <w:jc w:val="both"/>
        <w:ind w:right="20" w:firstLine="405"/>
        <w:spacing w:after="0" w:line="270" w:lineRule="auto"/>
        <w:rPr>
          <w:sz w:val="20"/>
          <w:szCs w:val="20"/>
          <w:color w:val="auto"/>
        </w:rPr>
      </w:pPr>
      <w:r>
        <w:rPr>
          <w:rFonts w:ascii="Arial" w:cs="Arial" w:eastAsia="Arial" w:hAnsi="Arial"/>
          <w:sz w:val="17"/>
          <w:szCs w:val="17"/>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77"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6"/>
          <w:szCs w:val="16"/>
          <w:color w:val="auto"/>
        </w:rPr>
        <w:t xml:space="preserve">The Company had performed an evaluation of its contracts with suppliers in accordance with Topic 842, </w:t>
      </w:r>
      <w:r>
        <w:rPr>
          <w:rFonts w:ascii="Arial" w:cs="Arial" w:eastAsia="Arial" w:hAnsi="Arial"/>
          <w:sz w:val="16"/>
          <w:szCs w:val="16"/>
          <w:i w:val="1"/>
          <w:iCs w:val="1"/>
          <w:color w:val="auto"/>
        </w:rPr>
        <w:t>Leases</w:t>
      </w:r>
      <w:r>
        <w:rPr>
          <w:rFonts w:ascii="Arial" w:cs="Arial" w:eastAsia="Arial" w:hAnsi="Arial"/>
          <w:sz w:val="16"/>
          <w:szCs w:val="16"/>
          <w:color w:val="auto"/>
        </w:rPr>
        <w:t>, and had determined that, except for leases for office facilities, motor vehicles and other equipment as described above, none of the Company’s contracts contain a lease. In assessment of the lease term, the Company considers the extension option as part of its lease term for those lease arrangements where the Company is reasonably certain of availing the extension option. As part of the Company’s effort to moderate the impact of COVID-19, the Company continued to evaluate its office facilities to determine where it can exit, consolidate, or otherwise optimize its use of office space. During the year ended December 31, 2020, the Company changed the lease term for certain of its leases and recognized the resultant amount of the remeasurement of the lease liability as an adjustment to the ROU assets.</w:t>
      </w:r>
    </w:p>
    <w:p>
      <w:pPr>
        <w:spacing w:after="0" w:line="20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impact of COVID-19 on the economic environment is uncertain and has caused variability in the determination of the incremental borrowing rate and extension option, which have an impact on measurement of lease liabilities and ROU assets.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Supplemental balance sheet information</w:t>
      </w:r>
    </w:p>
    <w:p>
      <w:pPr>
        <w:spacing w:after="0" w:line="253"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20" w:type="dxa"/>
            <w:vAlign w:val="bottom"/>
            <w:gridSpan w:val="4"/>
          </w:tcPr>
          <w:p>
            <w:pPr>
              <w:jc w:val="right"/>
              <w:ind w:right="1457"/>
              <w:spacing w:after="0"/>
              <w:rPr>
                <w:sz w:val="20"/>
                <w:szCs w:val="20"/>
                <w:color w:val="auto"/>
              </w:rPr>
            </w:pPr>
            <w:r>
              <w:rPr>
                <w:rFonts w:ascii="Arial" w:cs="Arial" w:eastAsia="Arial" w:hAnsi="Arial"/>
                <w:sz w:val="16"/>
                <w:szCs w:val="16"/>
                <w:b w:val="1"/>
                <w:bCs w:val="1"/>
                <w:color w:val="auto"/>
                <w:w w:val="89"/>
              </w:rPr>
              <w:t>As of</w:t>
            </w:r>
          </w:p>
        </w:tc>
      </w:tr>
      <w:tr>
        <w:trPr>
          <w:trHeight w:val="219"/>
        </w:trPr>
        <w:tc>
          <w:tcPr>
            <w:tcW w:w="7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96"/>
              </w:rPr>
              <w:t>March 31, 2021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7"/>
              <w:spacing w:after="0"/>
              <w:rPr>
                <w:sz w:val="20"/>
                <w:szCs w:val="20"/>
                <w:color w:val="auto"/>
              </w:rPr>
            </w:pPr>
            <w:r>
              <w:rPr>
                <w:rFonts w:ascii="Arial" w:cs="Arial" w:eastAsia="Arial" w:hAnsi="Arial"/>
                <w:sz w:val="16"/>
                <w:szCs w:val="16"/>
                <w:b w:val="1"/>
                <w:bCs w:val="1"/>
                <w:color w:val="auto"/>
                <w:w w:val="94"/>
              </w:rPr>
              <w:t>December 31, 2020</w:t>
            </w:r>
          </w:p>
        </w:tc>
      </w:tr>
      <w:tr>
        <w:trPr>
          <w:trHeight w:val="240"/>
        </w:trPr>
        <w:tc>
          <w:tcPr>
            <w:tcW w:w="7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88,777</w:t>
            </w:r>
          </w:p>
        </w:tc>
        <w:tc>
          <w:tcPr>
            <w:tcW w:w="3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91,918</w:t>
            </w:r>
          </w:p>
        </w:tc>
      </w:tr>
      <w:tr>
        <w:trPr>
          <w:trHeight w:val="270"/>
        </w:trPr>
        <w:tc>
          <w:tcPr>
            <w:tcW w:w="7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18,476</w:t>
            </w:r>
          </w:p>
        </w:tc>
        <w:tc>
          <w:tcPr>
            <w:tcW w:w="3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18,894</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81,948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84,874</w:t>
            </w:r>
          </w:p>
        </w:tc>
      </w:tr>
      <w:tr>
        <w:trPr>
          <w:trHeight w:val="210"/>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Total operating lease liabilities</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100,424</w:t>
            </w:r>
          </w:p>
        </w:tc>
        <w:tc>
          <w:tcPr>
            <w:tcW w:w="3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103,768</w:t>
            </w:r>
          </w:p>
        </w:tc>
      </w:tr>
      <w:tr>
        <w:trPr>
          <w:trHeight w:val="196"/>
        </w:trPr>
        <w:tc>
          <w:tcPr>
            <w:tcW w:w="7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Finance Lease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w:t>
            </w:r>
          </w:p>
        </w:tc>
      </w:tr>
      <w:tr>
        <w:trPr>
          <w:trHeight w:val="209"/>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196"/>
        </w:trPr>
        <w:tc>
          <w:tcPr>
            <w:tcW w:w="7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 - Current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liabilities - Non-current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23"/>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finance lease liabilities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color w:val="auto"/>
        </w:rPr>
        <w:t>Finance lease liabilities are presented as a part of “Accrued expenses and other current liabilities” and “Other non-current liabilities,” as applicable, in the Company’s consolidated balance sheets.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cost, which are included in the Company's unaudited consolidated statements of income, are as follows:</w:t>
      </w:r>
    </w:p>
    <w:p>
      <w:pPr>
        <w:spacing w:after="0" w:line="219" w:lineRule="exact"/>
        <w:rPr>
          <w:sz w:val="20"/>
          <w:szCs w:val="20"/>
          <w:color w:val="auto"/>
        </w:rPr>
      </w:pPr>
    </w:p>
    <w:tbl>
      <w:tblPr>
        <w:tblLayout w:type="fixed"/>
        <w:tblInd w:w="320" w:type="dxa"/>
        <w:tblCellMar>
          <w:top w:w="0" w:type="dxa"/>
          <w:left w:w="0" w:type="dxa"/>
          <w:bottom w:w="0" w:type="dxa"/>
          <w:right w:w="0" w:type="dxa"/>
        </w:tblCellMar>
      </w:tblPr>
      <w:tr>
        <w:trPr>
          <w:trHeight w:val="148"/>
        </w:trPr>
        <w:tc>
          <w:tcPr>
            <w:tcW w:w="6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Lease cost</w:t>
            </w:r>
          </w:p>
        </w:tc>
        <w:tc>
          <w:tcPr>
            <w:tcW w:w="1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jc w:val="right"/>
              <w:ind w:right="38"/>
              <w:spacing w:after="0" w:line="149" w:lineRule="exact"/>
              <w:rPr>
                <w:sz w:val="20"/>
                <w:szCs w:val="20"/>
                <w:color w:val="auto"/>
              </w:rPr>
            </w:pPr>
            <w:r>
              <w:rPr>
                <w:rFonts w:ascii="Arial" w:cs="Arial" w:eastAsia="Arial" w:hAnsi="Arial"/>
                <w:sz w:val="14"/>
                <w:szCs w:val="14"/>
                <w:b w:val="1"/>
                <w:bCs w:val="1"/>
                <w:color w:val="auto"/>
                <w:w w:val="93"/>
              </w:rPr>
              <w:t>Three months ended March 31,</w:t>
            </w:r>
          </w:p>
        </w:tc>
        <w:tc>
          <w:tcPr>
            <w:tcW w:w="100" w:type="dxa"/>
            <w:vAlign w:val="bottom"/>
          </w:tcPr>
          <w:p>
            <w:pPr>
              <w:spacing w:after="0"/>
              <w:rPr>
                <w:sz w:val="12"/>
                <w:szCs w:val="12"/>
                <w:color w:val="auto"/>
              </w:rPr>
            </w:pPr>
          </w:p>
        </w:tc>
        <w:tc>
          <w:tcPr>
            <w:tcW w:w="20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89"/>
        </w:trPr>
        <w:tc>
          <w:tcPr>
            <w:tcW w:w="62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460"/>
              <w:spacing w:after="0"/>
              <w:rPr>
                <w:sz w:val="20"/>
                <w:szCs w:val="20"/>
                <w:color w:val="auto"/>
              </w:rPr>
            </w:pPr>
            <w:r>
              <w:rPr>
                <w:rFonts w:ascii="Arial" w:cs="Arial" w:eastAsia="Arial" w:hAnsi="Arial"/>
                <w:sz w:val="18"/>
                <w:szCs w:val="18"/>
                <w:color w:val="auto"/>
              </w:rPr>
              <w:t>Amortization of right-of-use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on lease liabilities</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b w:val="1"/>
                <w:bCs w:val="1"/>
                <w:color w:val="auto"/>
              </w:rPr>
              <w:t>Operating lease</w:t>
            </w:r>
            <w:r>
              <w:rPr>
                <w:rFonts w:ascii="Arial" w:cs="Arial" w:eastAsia="Arial" w:hAnsi="Arial"/>
                <w:sz w:val="23"/>
                <w:szCs w:val="23"/>
                <w:b w:val="1"/>
                <w:bCs w:val="1"/>
                <w:color w:val="auto"/>
                <w:vertAlign w:val="superscript"/>
              </w:rPr>
              <w:t>(a)</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3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Includes short-term leases, which are immaterial.</w:t>
      </w:r>
    </w:p>
    <w:p>
      <w:pPr>
        <w:spacing w:after="0" w:line="200" w:lineRule="exact"/>
        <w:rPr>
          <w:sz w:val="20"/>
          <w:szCs w:val="20"/>
          <w:color w:val="auto"/>
        </w:rPr>
      </w:pPr>
    </w:p>
    <w:p>
      <w:pPr>
        <w:spacing w:after="0" w:line="2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Supplemental cash flow and other information related to leases are as follows:</w:t>
      </w:r>
    </w:p>
    <w:p>
      <w:pPr>
        <w:spacing w:after="0" w:line="257"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87"/>
        </w:trPr>
        <w:tc>
          <w:tcPr>
            <w:tcW w:w="59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r>
      <w:tr>
        <w:trPr>
          <w:trHeight w:val="211"/>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payments for amounts included in the measurement of lease liabilities :</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Operating cash outflows for operating leases</w:t>
            </w: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6,868</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6,576</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for finance leases</w:t>
            </w: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Financing cash outflows for finance leases</w:t>
            </w: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Right-of-use assets obtained in exchange for new operating lease liabilities</w:t>
            </w: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2,054</w:t>
            </w: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16,366</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980" w:type="dxa"/>
            <w:vAlign w:val="bottom"/>
          </w:tcPr>
          <w:p>
            <w:pPr>
              <w:ind w:left="340"/>
              <w:spacing w:after="0"/>
              <w:rPr>
                <w:sz w:val="20"/>
                <w:szCs w:val="20"/>
                <w:color w:val="auto"/>
              </w:rPr>
            </w:pPr>
            <w:r>
              <w:rPr>
                <w:rFonts w:ascii="Arial" w:cs="Arial" w:eastAsia="Arial" w:hAnsi="Arial"/>
                <w:sz w:val="18"/>
                <w:szCs w:val="18"/>
                <w:color w:val="auto"/>
              </w:rPr>
              <w:t>Finance lease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1.7 years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6"/>
              </w:rPr>
              <w:t>2.3 years</w:t>
            </w: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6.2 years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 years</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Operating lease</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7.3 %</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7.4 %</w:t>
            </w:r>
          </w:p>
        </w:tc>
      </w:tr>
    </w:tbl>
    <w:p>
      <w:pPr>
        <w:spacing w:after="0" w:line="322" w:lineRule="exact"/>
        <w:rPr>
          <w:sz w:val="20"/>
          <w:szCs w:val="20"/>
          <w:color w:val="auto"/>
        </w:rPr>
      </w:pPr>
    </w:p>
    <w:p>
      <w:pPr>
        <w:ind w:left="80" w:firstLine="486"/>
        <w:spacing w:after="0" w:line="235" w:lineRule="auto"/>
        <w:rPr>
          <w:sz w:val="20"/>
          <w:szCs w:val="20"/>
          <w:color w:val="auto"/>
        </w:rPr>
      </w:pPr>
      <w:r>
        <w:rPr>
          <w:rFonts w:ascii="Arial" w:cs="Arial" w:eastAsia="Arial" w:hAnsi="Arial"/>
          <w:sz w:val="18"/>
          <w:szCs w:val="18"/>
          <w:color w:val="auto"/>
        </w:rPr>
        <w:t>The Company determines the incremental borrowing rate by adjusting the benchmark reference rates, applicable to the respective geographies where the leases were entered, with appropriate financing spreads and lease specific adjustments for the effects of collateral.</w:t>
      </w:r>
    </w:p>
    <w:p>
      <w:pPr>
        <w:spacing w:after="0" w:line="189" w:lineRule="exact"/>
        <w:rPr>
          <w:sz w:val="20"/>
          <w:szCs w:val="20"/>
          <w:color w:val="auto"/>
        </w:rPr>
      </w:pPr>
    </w:p>
    <w:p>
      <w:pPr>
        <w:ind w:left="80" w:firstLine="486"/>
        <w:spacing w:after="0" w:line="235" w:lineRule="auto"/>
        <w:rPr>
          <w:sz w:val="20"/>
          <w:szCs w:val="20"/>
          <w:color w:val="auto"/>
        </w:rPr>
      </w:pPr>
      <w:r>
        <w:rPr>
          <w:rFonts w:ascii="Arial" w:cs="Arial" w:eastAsia="Arial" w:hAnsi="Arial"/>
          <w:sz w:val="18"/>
          <w:szCs w:val="18"/>
          <w:color w:val="auto"/>
        </w:rPr>
        <w:t>During the three months ended March 31, 2021 and year ended December 31, 2020, the Company modified certain of its operating leases, resulting in a reduction of its lease liabilities by $0 and $3,143 respectively, with a corresponding reduction in ROU assets.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Maturities of lease liabilities as of March 31, 2021 were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6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9"/>
              </w:rPr>
              <w:t>Operating Leases</w:t>
            </w:r>
          </w:p>
        </w:tc>
        <w:tc>
          <w:tcPr>
            <w:tcW w:w="120" w:type="dxa"/>
            <w:vAlign w:val="bottom"/>
            <w:tcBorders>
              <w:bottom w:val="single" w:sz="8" w:color="CCEEFF"/>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Finance Leases</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(April 1 - December 31)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24,613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17,262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128,293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Maturities of lease liabilities as of December 31, 2020 were as follows:</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6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2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Pr>
          <w:p>
            <w:pPr>
              <w:spacing w:after="0"/>
              <w:rPr>
                <w:sz w:val="24"/>
                <w:szCs w:val="24"/>
                <w:color w:val="auto"/>
              </w:rPr>
            </w:pPr>
          </w:p>
        </w:tc>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Finance Leases</w:t>
            </w:r>
          </w:p>
        </w:tc>
        <w:tc>
          <w:tcPr>
            <w:tcW w:w="0" w:type="dxa"/>
            <w:vAlign w:val="bottom"/>
          </w:tcPr>
          <w:p>
            <w:pPr>
              <w:spacing w:after="0"/>
              <w:rPr>
                <w:sz w:val="1"/>
                <w:szCs w:val="1"/>
                <w:color w:val="auto"/>
              </w:rPr>
            </w:pPr>
          </w:p>
        </w:tc>
      </w:tr>
      <w:tr>
        <w:trPr>
          <w:trHeight w:val="239"/>
        </w:trPr>
        <w:tc>
          <w:tcPr>
            <w:tcW w:w="64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25,829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22,066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9,749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and thereafter</w:t>
            </w: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460" w:type="dxa"/>
            <w:vAlign w:val="bottom"/>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133,378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29,610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6"/>
        </w:trPr>
        <w:tc>
          <w:tcPr>
            <w:tcW w:w="6460" w:type="dxa"/>
            <w:vAlign w:val="bottom"/>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103,768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2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 The impact of COVID-19 on the economic environment is uncertain and may change the annual effective tax rate, which could impact tax expense.</w:t>
      </w:r>
    </w:p>
    <w:p>
      <w:pPr>
        <w:spacing w:after="0" w:line="191" w:lineRule="exact"/>
        <w:rPr>
          <w:sz w:val="20"/>
          <w:szCs w:val="20"/>
          <w:color w:val="auto"/>
        </w:rPr>
      </w:pPr>
    </w:p>
    <w:p>
      <w:pPr>
        <w:jc w:val="both"/>
        <w:ind w:right="20" w:firstLine="445"/>
        <w:spacing w:after="0" w:line="243" w:lineRule="auto"/>
        <w:rPr>
          <w:sz w:val="20"/>
          <w:szCs w:val="20"/>
          <w:color w:val="auto"/>
        </w:rPr>
      </w:pPr>
      <w:r>
        <w:rPr>
          <w:rFonts w:ascii="Arial" w:cs="Arial" w:eastAsia="Arial" w:hAnsi="Arial"/>
          <w:sz w:val="18"/>
          <w:szCs w:val="18"/>
          <w:color w:val="auto"/>
        </w:rPr>
        <w:t>The Company's effective tax rate increased from 20.7% during the three months ended March 31, 2020 to 21.9% during the three months ended March 31, 2021. The Company recorded income tax expense of $8,958 and $5,855 for the three months ended March 31, 2021 and 2020, respectively. The increase in the income tax expense was primarily as a result of higher profit during the three months ended March 31, 2021 compared to the three months ended March 31, 2020.</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(deferred) recognized in other comprehensive income/(loss) were as follows:</w:t>
      </w:r>
    </w:p>
    <w:p>
      <w:pPr>
        <w:spacing w:after="0" w:line="109"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87"/>
        </w:trPr>
        <w:tc>
          <w:tcPr>
            <w:tcW w:w="7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21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taxes benefit / (expense) recognized on:</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30"/>
        </w:trPr>
        <w:tc>
          <w:tcPr>
            <w:tcW w:w="7240" w:type="dxa"/>
            <w:vAlign w:val="bottom"/>
          </w:tcPr>
          <w:p>
            <w:pPr>
              <w:ind w:left="120"/>
              <w:spacing w:after="0"/>
              <w:rPr>
                <w:sz w:val="20"/>
                <w:szCs w:val="20"/>
                <w:color w:val="auto"/>
              </w:rPr>
            </w:pPr>
            <w:r>
              <w:rPr>
                <w:rFonts w:ascii="Arial" w:cs="Arial" w:eastAsia="Arial" w:hAnsi="Arial"/>
                <w:sz w:val="18"/>
                <w:szCs w:val="18"/>
                <w:color w:val="auto"/>
              </w:rPr>
              <w:t>Unrealized gain / (loss) on cash flow hedges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4,706</w:t>
            </w: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adjustment for cash flow hedges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Reclassification adjustment for retirement benefits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loss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Total Income tax benefit recognized in other comprehensive income / (loss)</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9,033</w:t>
            </w:r>
          </w:p>
        </w:tc>
      </w:tr>
      <w:tr>
        <w:trPr>
          <w:trHeight w:val="20"/>
        </w:trPr>
        <w:tc>
          <w:tcPr>
            <w:tcW w:w="7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Compensation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9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3,298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7,832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w:t>
            </w:r>
          </w:p>
        </w:tc>
      </w:tr>
      <w:tr>
        <w:trPr>
          <w:trHeight w:val="21"/>
        </w:trPr>
        <w:tc>
          <w:tcPr>
            <w:tcW w:w="7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2021, the Company had 1,887,604 shares available for grant under the 2018 Omnibus Incentive Plan.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 option activity under the Company’s stock-based compensation plans is shown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restart"/>
          </w:tcPr>
          <w:p>
            <w:pPr>
              <w:jc w:val="right"/>
              <w:ind w:right="420"/>
              <w:spacing w:after="0" w:line="135" w:lineRule="exact"/>
              <w:rPr>
                <w:sz w:val="20"/>
                <w:szCs w:val="20"/>
                <w:color w:val="auto"/>
              </w:rPr>
            </w:pPr>
            <w:r>
              <w:rPr>
                <w:rFonts w:ascii="Arial" w:cs="Arial" w:eastAsia="Arial" w:hAnsi="Arial"/>
                <w:sz w:val="14"/>
                <w:szCs w:val="14"/>
                <w:b w:val="1"/>
                <w:bCs w:val="1"/>
                <w:color w:val="auto"/>
              </w:rPr>
              <w:t>Number of</w:t>
            </w:r>
          </w:p>
        </w:tc>
        <w:tc>
          <w:tcPr>
            <w:tcW w:w="1360" w:type="dxa"/>
            <w:vAlign w:val="bottom"/>
            <w:gridSpan w:val="4"/>
            <w:vMerge w:val="continue"/>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2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9"/>
              </w:rPr>
              <w:t>Intrinsic</w:t>
            </w: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restart"/>
          </w:tcPr>
          <w:p>
            <w:pPr>
              <w:jc w:val="right"/>
              <w:ind w:right="500"/>
              <w:spacing w:after="0" w:line="135"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2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Pr>
          <w:p>
            <w:pPr>
              <w:spacing w:after="0"/>
              <w:rPr>
                <w:sz w:val="5"/>
                <w:szCs w:val="5"/>
                <w:color w:val="auto"/>
              </w:rPr>
            </w:pPr>
          </w:p>
        </w:tc>
        <w:tc>
          <w:tcPr>
            <w:tcW w:w="9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5"/>
              </w:rPr>
              <w:t>Value</w:t>
            </w: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69"/>
        </w:trPr>
        <w:tc>
          <w:tcPr>
            <w:tcW w:w="420" w:type="dxa"/>
            <w:vAlign w:val="bottom"/>
          </w:tcPr>
          <w:p>
            <w:pPr>
              <w:spacing w:after="0"/>
              <w:rPr>
                <w:sz w:val="5"/>
                <w:szCs w:val="5"/>
                <w:color w:val="auto"/>
              </w:rPr>
            </w:pPr>
          </w:p>
        </w:tc>
        <w:tc>
          <w:tcPr>
            <w:tcW w:w="48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37"/>
              <w:spacing w:after="0"/>
              <w:rPr>
                <w:sz w:val="20"/>
                <w:szCs w:val="20"/>
                <w:color w:val="auto"/>
              </w:rPr>
            </w:pPr>
            <w:r>
              <w:rPr>
                <w:rFonts w:ascii="Arial" w:cs="Arial" w:eastAsia="Arial" w:hAnsi="Arial"/>
                <w:sz w:val="18"/>
                <w:szCs w:val="18"/>
                <w:color w:val="auto"/>
                <w:w w:val="85"/>
              </w:rPr>
              <w:t>1.85</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0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left="8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0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left="8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center"/>
              <w:ind w:left="837"/>
              <w:spacing w:after="0"/>
              <w:rPr>
                <w:sz w:val="20"/>
                <w:szCs w:val="20"/>
                <w:color w:val="auto"/>
              </w:rPr>
            </w:pPr>
            <w:r>
              <w:rPr>
                <w:rFonts w:ascii="Arial" w:cs="Arial" w:eastAsia="Arial" w:hAnsi="Arial"/>
                <w:sz w:val="18"/>
                <w:szCs w:val="18"/>
                <w:color w:val="auto"/>
                <w:w w:val="85"/>
              </w:rPr>
              <w:t>1.69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March 31, 2021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2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28,249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25.50</w:t>
            </w:r>
          </w:p>
        </w:tc>
        <w:tc>
          <w:tcPr>
            <w:tcW w:w="100" w:type="dxa"/>
            <w:vAlign w:val="bottom"/>
          </w:tcPr>
          <w:p>
            <w:pPr>
              <w:spacing w:after="0"/>
              <w:rPr>
                <w:sz w:val="17"/>
                <w:szCs w:val="17"/>
                <w:color w:val="auto"/>
              </w:rPr>
            </w:pPr>
          </w:p>
        </w:tc>
        <w:tc>
          <w:tcPr>
            <w:tcW w:w="5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1,826</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center"/>
              <w:ind w:left="837"/>
              <w:spacing w:after="0" w:line="203" w:lineRule="exact"/>
              <w:rPr>
                <w:sz w:val="20"/>
                <w:szCs w:val="20"/>
                <w:color w:val="auto"/>
              </w:rPr>
            </w:pPr>
            <w:r>
              <w:rPr>
                <w:rFonts w:ascii="Arial" w:cs="Arial" w:eastAsia="Arial" w:hAnsi="Arial"/>
                <w:sz w:val="18"/>
                <w:szCs w:val="18"/>
                <w:color w:val="auto"/>
                <w:w w:val="85"/>
              </w:rPr>
              <w:t>1.69</w:t>
            </w:r>
          </w:p>
        </w:tc>
        <w:tc>
          <w:tcPr>
            <w:tcW w:w="0" w:type="dxa"/>
            <w:vAlign w:val="bottom"/>
          </w:tcPr>
          <w:p>
            <w:pPr>
              <w:spacing w:after="0"/>
              <w:rPr>
                <w:sz w:val="1"/>
                <w:szCs w:val="1"/>
                <w:color w:val="auto"/>
              </w:rPr>
            </w:pPr>
          </w:p>
        </w:tc>
      </w:tr>
      <w:tr>
        <w:trPr>
          <w:trHeight w:val="425"/>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Restricted Stock Units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7560" w:type="dxa"/>
            <w:vAlign w:val="bottom"/>
            <w:gridSpan w:val="9"/>
          </w:tcPr>
          <w:p>
            <w:pPr>
              <w:ind w:left="40"/>
              <w:spacing w:after="0"/>
              <w:rPr>
                <w:sz w:val="20"/>
                <w:szCs w:val="20"/>
                <w:color w:val="auto"/>
              </w:rPr>
            </w:pPr>
            <w:r>
              <w:rPr>
                <w:rFonts w:ascii="Arial" w:cs="Arial" w:eastAsia="Arial" w:hAnsi="Arial"/>
                <w:sz w:val="18"/>
                <w:szCs w:val="18"/>
                <w:color w:val="auto"/>
                <w:w w:val="94"/>
              </w:rPr>
              <w:t>Restricted stock unit activity under the Company’s stock-based compensation plans is shown below:</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rPr>
              <w:t>Restricted Stock Units</w:t>
            </w:r>
          </w:p>
        </w:tc>
        <w:tc>
          <w:tcPr>
            <w:tcW w:w="5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center"/>
              <w:ind w:left="416"/>
              <w:spacing w:after="0"/>
              <w:rPr>
                <w:sz w:val="20"/>
                <w:szCs w:val="20"/>
                <w:color w:val="auto"/>
              </w:rPr>
            </w:pPr>
            <w:r>
              <w:rPr>
                <w:rFonts w:ascii="Arial" w:cs="Arial" w:eastAsia="Arial" w:hAnsi="Arial"/>
                <w:sz w:val="14"/>
                <w:szCs w:val="14"/>
                <w:b w:val="1"/>
                <w:bCs w:val="1"/>
                <w:color w:val="auto"/>
                <w:w w:val="95"/>
              </w:rPr>
              <w:t>Fair Value</w:t>
            </w: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420" w:type="dxa"/>
            <w:vAlign w:val="bottom"/>
            <w:tcBorders>
              <w:bottom w:val="single" w:sz="8" w:color="CCEEFF"/>
            </w:tcBorders>
          </w:tcPr>
          <w:p>
            <w:pPr>
              <w:spacing w:after="0"/>
              <w:rPr>
                <w:sz w:val="6"/>
                <w:szCs w:val="6"/>
                <w:color w:val="auto"/>
              </w:rPr>
            </w:pPr>
          </w:p>
        </w:tc>
        <w:tc>
          <w:tcPr>
            <w:tcW w:w="48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80" w:type="dxa"/>
            <w:vAlign w:val="bottom"/>
            <w:tcBorders>
              <w:bottom w:val="single" w:sz="8" w:color="auto"/>
            </w:tcBorders>
            <w:gridSpan w:val="2"/>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903,666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67.84</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342,656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97"/>
              </w:rPr>
              <w:t>83.86</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(302,921)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64.00</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(13,182)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97"/>
              </w:rPr>
              <w:t>70.05</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930,219</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74.96</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 As of March 31, 2021 and December 31, 2020 restricted stock units vested for which the underlying common stock is yet to be issued was 181,638 each.</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2021, unrecognized compensation cost of $64,277 is expected to be expensed over a weighted average period of 3.01 years.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56"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Under the 2018 Plan, the Company grants performance-based restricted stock units (“PRSUs”) to executive officers and other specified employees. During the three months ended March 31, 2021, the Company granted PRSUs that cliff vest at the end of a three year period based on a market condition that is contingent on the Company's meeting the total shareholder return relative to a group of peer companies specified under the program measured over a three-year performance period. The award recipient may earn up to two hundred percent (200%) of the PRSUs granted based on the actual achievement of targets. Unlike the three months ended March 31, 2020, the Company did not grant PRSUs that cliff vest at the end of a three-year period based on an aggregated revenue target for such three year period.</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Performance restricted stock unit activity under the Company’s stock plans is shown below:</w:t>
      </w:r>
    </w:p>
    <w:p>
      <w:pPr>
        <w:spacing w:after="0" w:line="136"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860" w:type="dxa"/>
            <w:vAlign w:val="bottom"/>
            <w:gridSpan w:val="5"/>
          </w:tcPr>
          <w:p>
            <w:pPr>
              <w:ind w:left="680"/>
              <w:spacing w:after="0"/>
              <w:rPr>
                <w:sz w:val="20"/>
                <w:szCs w:val="20"/>
                <w:color w:val="auto"/>
              </w:rPr>
            </w:pPr>
            <w:r>
              <w:rPr>
                <w:rFonts w:ascii="Arial" w:cs="Arial" w:eastAsia="Arial" w:hAnsi="Arial"/>
                <w:sz w:val="14"/>
                <w:szCs w:val="14"/>
                <w:b w:val="1"/>
                <w:bCs w:val="1"/>
                <w:color w:val="auto"/>
              </w:rPr>
              <w:t>Revenue Based PRSUs</w:t>
            </w:r>
          </w:p>
        </w:tc>
        <w:tc>
          <w:tcPr>
            <w:tcW w:w="2740" w:type="dxa"/>
            <w:vAlign w:val="bottom"/>
            <w:gridSpan w:val="4"/>
          </w:tcPr>
          <w:p>
            <w:pPr>
              <w:ind w:left="38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420" w:type="dxa"/>
            <w:vAlign w:val="bottom"/>
            <w:tcBorders>
              <w:top w:val="single" w:sz="8" w:color="auto"/>
            </w:tcBorders>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320" w:type="dxa"/>
            <w:vAlign w:val="bottom"/>
            <w:tcBorders>
              <w:top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1"/>
                <w:szCs w:val="11"/>
                <w:color w:val="auto"/>
              </w:rPr>
            </w:pPr>
          </w:p>
        </w:tc>
        <w:tc>
          <w:tcPr>
            <w:tcW w:w="1420" w:type="dxa"/>
            <w:vAlign w:val="bottom"/>
            <w:tcBorders>
              <w:top w:val="single" w:sz="8" w:color="auto"/>
            </w:tcBorders>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320" w:type="dxa"/>
            <w:vAlign w:val="bottom"/>
            <w:tcBorders>
              <w:top w:val="single" w:sz="8" w:color="auto"/>
            </w:tcBorders>
            <w:gridSpan w:val="2"/>
          </w:tcPr>
          <w:p>
            <w:pPr>
              <w:jc w:val="right"/>
              <w:ind w:right="13"/>
              <w:spacing w:after="0" w:line="135" w:lineRule="exact"/>
              <w:rPr>
                <w:sz w:val="20"/>
                <w:szCs w:val="20"/>
                <w:color w:val="auto"/>
              </w:rPr>
            </w:pPr>
            <w:r>
              <w:rPr>
                <w:rFonts w:ascii="Arial" w:cs="Arial" w:eastAsia="Arial" w:hAnsi="Arial"/>
                <w:sz w:val="14"/>
                <w:szCs w:val="14"/>
                <w:b w:val="1"/>
                <w:bCs w:val="1"/>
                <w:color w:val="auto"/>
                <w:w w:val="97"/>
              </w:rPr>
              <w:t>Weighted-Average</w:t>
            </w:r>
          </w:p>
        </w:tc>
        <w:tc>
          <w:tcPr>
            <w:tcW w:w="0" w:type="dxa"/>
            <w:vAlign w:val="bottom"/>
          </w:tcPr>
          <w:p>
            <w:pPr>
              <w:spacing w:after="0"/>
              <w:rPr>
                <w:sz w:val="1"/>
                <w:szCs w:val="1"/>
                <w:color w:val="auto"/>
              </w:rPr>
            </w:pPr>
          </w:p>
        </w:tc>
      </w:tr>
      <w:tr>
        <w:trPr>
          <w:trHeight w:val="109"/>
        </w:trPr>
        <w:tc>
          <w:tcPr>
            <w:tcW w:w="48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4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78"/>
        </w:trPr>
        <w:tc>
          <w:tcPr>
            <w:tcW w:w="48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97.85</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121,180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2021, unrecognized compensation cost of $20,882 is expected to be expensed over a weighted average period of 2.34 years.</w:t>
      </w:r>
    </w:p>
    <w:p>
      <w:pPr>
        <w:spacing w:after="0" w:line="264" w:lineRule="exact"/>
        <w:rPr>
          <w:sz w:val="20"/>
          <w:szCs w:val="20"/>
          <w:color w:val="auto"/>
        </w:rPr>
      </w:pPr>
    </w:p>
    <w:p>
      <w:pPr>
        <w:jc w:val="both"/>
        <w:ind w:right="20" w:firstLine="445"/>
        <w:spacing w:after="0" w:line="324" w:lineRule="auto"/>
        <w:rPr>
          <w:sz w:val="20"/>
          <w:szCs w:val="20"/>
          <w:color w:val="auto"/>
        </w:rPr>
      </w:pPr>
      <w:r>
        <w:rPr>
          <w:rFonts w:ascii="Arial" w:cs="Arial" w:eastAsia="Arial" w:hAnsi="Arial"/>
          <w:sz w:val="16"/>
          <w:szCs w:val="16"/>
          <w:color w:val="auto"/>
        </w:rPr>
        <w:t>The impact of COVID-19 on the economic environment is uncertain and has caused variability in the estimation of number of performance based restricted stock units that will eventually vest and the related compensation cost to be recognized in the unaudited consolidated statements of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Related Party Disclosures</w:t>
      </w:r>
    </w:p>
    <w:p>
      <w:pPr>
        <w:spacing w:after="0" w:line="256"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w:t>
      </w:r>
    </w:p>
    <w:p>
      <w:pPr>
        <w:spacing w:after="0" w:line="209"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The Company had outstanding Notes with a principal amount of $150,000 each as of March 31, 2021 and December 31, 2020 and interest accrued of $2,625 and $1,313 as of March 31, 2021 and December 31, 2020, respectively, related to the Investment Agreement.</w:t>
      </w:r>
    </w:p>
    <w:p>
      <w:pPr>
        <w:spacing w:after="0" w:line="19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Company recognized interest expense on the Notes related to the Investment Agreements as below. Refer to Note 17 – Borrowings to the unaudited consolidated financial statements for details.</w:t>
      </w:r>
    </w:p>
    <w:p>
      <w:pPr>
        <w:spacing w:after="0" w:line="248" w:lineRule="exact"/>
        <w:rPr>
          <w:sz w:val="20"/>
          <w:szCs w:val="20"/>
          <w:color w:val="auto"/>
        </w:rPr>
      </w:pPr>
    </w:p>
    <w:p>
      <w:pPr>
        <w:jc w:val="center"/>
        <w:ind w:left="5480"/>
        <w:spacing w:after="0"/>
        <w:rPr>
          <w:sz w:val="20"/>
          <w:szCs w:val="20"/>
          <w:color w:val="auto"/>
        </w:rPr>
      </w:pPr>
      <w:r>
        <w:rPr>
          <w:rFonts w:ascii="Arial" w:cs="Arial" w:eastAsia="Arial" w:hAnsi="Arial"/>
          <w:sz w:val="18"/>
          <w:szCs w:val="18"/>
          <w:b w:val="1"/>
          <w:bCs w:val="1"/>
          <w:color w:val="auto"/>
        </w:rPr>
        <w:t>Three months ended March 31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26035</wp:posOffset>
            </wp:positionV>
            <wp:extent cx="2168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0" w:lineRule="exact"/>
        <w:rPr>
          <w:sz w:val="20"/>
          <w:szCs w:val="20"/>
          <w:color w:val="auto"/>
        </w:rPr>
      </w:pPr>
    </w:p>
    <w:p>
      <w:pPr>
        <w:ind w:left="7320"/>
        <w:spacing w:after="0"/>
        <w:tabs>
          <w:tab w:leader="none" w:pos="90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39508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95085" cy="13716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660" w:val="left"/>
          <w:tab w:leader="none" w:pos="7820" w:val="left"/>
          <w:tab w:leader="none" w:pos="8420" w:val="left"/>
          <w:tab w:leader="none" w:pos="9580" w:val="left"/>
        </w:tabs>
        <w:rPr>
          <w:sz w:val="20"/>
          <w:szCs w:val="20"/>
          <w:color w:val="auto"/>
        </w:rPr>
      </w:pPr>
      <w:r>
        <w:rPr>
          <w:rFonts w:ascii="Arial" w:cs="Arial" w:eastAsia="Arial" w:hAnsi="Arial"/>
          <w:sz w:val="18"/>
          <w:szCs w:val="18"/>
          <w:color w:val="auto"/>
        </w:rPr>
        <w:t>Interest expense on Notes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1,313</w:t>
        <w:tab/>
        <w:t>$</w:t>
      </w:r>
      <w:r>
        <w:rPr>
          <w:sz w:val="20"/>
          <w:szCs w:val="20"/>
          <w:color w:val="auto"/>
        </w:rPr>
        <w:tab/>
      </w:r>
      <w:r>
        <w:rPr>
          <w:rFonts w:ascii="Arial" w:cs="Arial" w:eastAsia="Arial" w:hAnsi="Arial"/>
          <w:sz w:val="15"/>
          <w:szCs w:val="15"/>
          <w:color w:val="auto"/>
        </w:rPr>
        <w:t>1,313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252"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At March 31, 2021, the Company had committed to spend approximately $3,300 under agreements to purchase property and equipment. This amount is net of capital advances paid which are recognized in the unaudited consolidated balance sheets as property and equipment.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88"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Company’s operations centers in the Philippines are registered with the Philippine Economic Zone Authority. The registration provides the Company with certain fiscal incentives on the import of capital goods and local purchase of services and materials and requires ExlService Philippines, Inc. to meet certain performance and investment criteria. The Company’s management believes that these centers have in the past satisfied and will continue to satisfy the required criteria.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The 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 The Company is subject to taxation in the United States and various states and foreign jurisdictions. For the U.S., the Philippines and India, tax year 2016 and subsequent tax years remain open for examination by the tax authorities as of March 31, 2021.</w:t>
      </w:r>
    </w:p>
    <w:p>
      <w:pPr>
        <w:spacing w:after="0" w:line="21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The aggregate amount demanded by income tax authorities (net of advance payments, if any) from the Company related to its transfer pricing issues for tax years 2003 to 2015 and its permanent establishment issues for tax years 2003 to 2007 as of March 31, 2021 and December 31, 2020 is $16,739 and $16,748, respectively, of which the Company has made payments and/or provided bank guarantees to the extent $8,116 and $8,120, respectively. Amounts paid as deposits in respect of such assessments aggregating to $6,304 and $6,307 as of March 31, 2021 and December 31, 2020, respectively, are included in “Other assets” and amounts deposited for bank guarantees aggregating to $1,812 and $1,813 as of March 31, 2021 and December 31, 2020, respectively, are included in “Restricted cash” in the non-current assets section of the Company’s unaudited consolidated balance sheets.</w:t>
      </w:r>
    </w:p>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unaudited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8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February 2019, there was a judicial pronouncement in India with respect to defined social security contribution benefits payments interpreting certain statutory defined contribution obligations of employees and employers. Currently some of the Company's subsidiaries in India are undergoing assessment with the statutory authorities. As of the reporting date,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The Company will continue to monitor and evaluate its position based on future events and developments in this matter for the implications on the financial statements, if any.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In September 2020, the Indian Parliament passed various consolidating labor codes, including the Code on Social Security, 2020 (the “Indian Social Security Code”) which aims to rationalize labor laws. The Indian Social Security 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amongst others.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 financial statements in the period in which, the Indian Social Security Code becomes effective and the related rules to determine the financial impact are published.</w:t>
      </w:r>
    </w:p>
    <w:p>
      <w:pPr>
        <w:spacing w:after="0" w:line="19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From time to time, the Company and/or its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2020. Some of the statements in the following discussion are forward looking statements. Dollar amounts within Item 2 are presented as actual, rounded, dollar amounts.</w:t>
      </w:r>
    </w:p>
    <w:p>
      <w:pPr>
        <w:spacing w:after="0" w:line="200" w:lineRule="exact"/>
        <w:rPr>
          <w:sz w:val="20"/>
          <w:szCs w:val="20"/>
          <w:color w:val="auto"/>
        </w:rPr>
      </w:pPr>
    </w:p>
    <w:p>
      <w:pPr>
        <w:jc w:val="both"/>
        <w:ind w:firstLine="405"/>
        <w:spacing w:after="0" w:line="219" w:lineRule="auto"/>
        <w:rPr>
          <w:sz w:val="20"/>
          <w:szCs w:val="20"/>
          <w:color w:val="auto"/>
        </w:rPr>
      </w:pPr>
      <w:r>
        <w:rPr>
          <w:rFonts w:ascii="Arial" w:cs="Arial" w:eastAsia="Arial" w:hAnsi="Arial"/>
          <w:sz w:val="18"/>
          <w:szCs w:val="18"/>
          <w:i w:val="1"/>
          <w:iCs w:val="1"/>
          <w:color w:val="auto"/>
        </w:rPr>
        <w:t>We have described in this Quarterly Report on Form 10-Q, the impact of the global Coronavirus Disease 2019 pandemic (“COVID-19”) on our financial results for the quarter ended March 31, 2021. See "Cautionary Note Regarding Forward-Looking Statements" below, Item 1A -“Risk Factors” included elsewhere in this Quarterly Report on Form 10-Q and Part I, Item 1A, “Risk Factors” in our Annual Report on Form 10-K for the fiscal year ended December 31, 2020 for further information regarding risks and uncertainties relating to COVID-19.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Many of the following risks, uncertainties and other factors identified below have been, and will be, amplified by the COVID-19 pandemic (“COVID-19”). These factors include but are not limited to:</w:t>
      </w:r>
    </w:p>
    <w:p>
      <w:pPr>
        <w:spacing w:after="0" w:line="213" w:lineRule="exact"/>
        <w:rPr>
          <w:sz w:val="20"/>
          <w:szCs w:val="20"/>
          <w:color w:val="auto"/>
        </w:rPr>
      </w:pPr>
    </w:p>
    <w:p>
      <w:pPr>
        <w:ind w:left="660" w:right="380" w:hanging="328"/>
        <w:spacing w:after="0" w:line="291"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COVID-19 and related response measures on our business, results of operations and financial condition, including the impact of governmental lockdowns and other restrictions on our operations and processes and those of our clients and suppliers;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accurately estimate and/or manage the costs and/or timing of winding down businesses;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telecommunications or technology disruptions or breaches, natural or other disasters, or medical epidemics or pandemics;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the entire book value of goodwill and other intangible assets from acquisitions;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make accurate estimates and assumptions in connection with the preparation of our consolidated financial statements;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operational and information security failures arising as a result of remote work solutions adopted due to COVID-19;</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 security incidents, data breaches, or other unauthorized disclosure of sensitive or confidential client and customer data;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3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2020. These and other risks could cause actual results to differ materially from those implied by forward-looking statements in this Quarterly Report on Form 10-Q.</w:t>
      </w:r>
    </w:p>
    <w:p>
      <w:pPr>
        <w:spacing w:after="0" w:line="174"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43"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We are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We serve customers in multiple industries, including insurance, healthcare, banking and financial services, utilities, travel, transportation and logistics, media and retail, among others.</w:t>
      </w:r>
    </w:p>
    <w:p>
      <w:pPr>
        <w:spacing w:after="0" w:line="20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We operate in the business process management (“BPM”) industry and we provide operations management and analytics services. We manage and report financial information through our four strategic business units: Insurance, Healthcare, Analytics and Emerging Business.</w:t>
      </w:r>
    </w:p>
    <w:p>
      <w:pPr>
        <w:spacing w:after="0" w:line="198"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Our global delivery network, which includes highly trained industry and process specialists across the United States, Latin America, South Africa, Europe and Asia (primarily India and the Philippines), is a key asset. We have operations centers in India, the United States, the United Kingdom, the Philippines, Bulgaria, Colombia, South Africa, Romania and the Czech Republic.</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impact of COVID-19 on Our Business</w:t>
      </w:r>
    </w:p>
    <w:p>
      <w:pPr>
        <w:spacing w:after="0" w:line="229"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global COVID-19 pandemic continues to materially impact worldwide economic activity and levels of business confidence and has had widespread, rapidly-evolving and unpredictable impacts on global societies, economies, financial markets and business practices. During 2020, COVID-19 materially impacted our business, however during the first fiscal quarter of 2021, we saw moderate improvement in key indicators. Over the course of 2020, and continuing into 2021, our customers, contractors, suppliers, and other partners adapted in order to conduct business activities in a COVID-19 environment. The U.S. economy continued on a path to recovery in the first quarter of 2021 with millions of Americans receiving the COVID-19 vaccine, and states and municipalities increasingly reopening. In addition, the U.S. federal government continued to enact policies to provide fiscal stimulus to the economy and relief to those affected by the pandemic. As the global economy begins to emerge from the impact of COVID-19 in 2021, our clients are focused on receiving personalized customer experiences, optimizing costs and supporting resilient operating models. We remain committed to helping our clients adapt and thrive through the ongoing uncertainties caused by COVID-19 and, going forward, to the shifting business environment. Notwithstanding the moderate improvement in conditions during the first quarter of 2021, the COVID-19 pandemic continues, and due to the associated uncertainties, we continue to evaluate the nature and scope of the impact to our business and may take further strategic actions in order to manage our business operations, costs and liquidity in response to the ongoing impacts and changing conditions and markets resulting from COVID-19.</w:t>
      </w:r>
    </w:p>
    <w:p>
      <w:pPr>
        <w:spacing w:after="0" w:line="195"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auto"/>
        </w:rPr>
        <w:t>We have a business continuity plan in place and have adapted delivery to a work from home model, while actively working to understand our clients’ changing requirements, continuing to ensure data security, prioritizing critical processes, adjusting service levels and managing discretionary costs (such as travel costs) and fixed costs (such as non-critical personnel costs). We have made ongoing efforts to reduce our reliance on travel by incorporating into our business model the ability to conduct business using virtual conferencing and collaboration tools. Our work from home delivery capability steadily improved throughout 2020 and continued to improve during the first quarter of 2021. We estimate that we are able to deliver a significant portion of our clients’ current requirements in a work from home model given the current lockdown restrictions in the locations in which we operate and certain clients not authorizing us to perform the remaining process work remotely due to its sensitive nature. In addition, we have also worked, and continue to work with national, state, and local authorities to comply with applicable rules and regulations related to COVID-19. There continues to be volatility and economic and geopolitical uncertainty in many markets around the world. Despite the efforts described above, there is a risk that if jurisdictions in which we operate reinstate prior restrictions, stagnate in their reopening processes, or implement new restrictions in response to new outbreaks or continued spread, our operations and business could be materially impacted. In late March 2021, a new serious outbreak of the COVID-19 virus began affecting India with an exorbitant spike in the number of COVID patients. The Indian government has reinstated lockdowns limiting in certain cases the movement of our employees to offices. During the same period, the Philippines also began experiencing a spike in the number of COVID patients. Although at present our Indian and Philippines operations have not been materially affected and we have initiated appropriate business continuity procedures, it is possible that these new developments could adversely affect our business and results of operations.</w:t>
      </w:r>
    </w:p>
    <w:p>
      <w:pPr>
        <w:spacing w:after="0" w:line="194" w:lineRule="exact"/>
        <w:rPr>
          <w:sz w:val="20"/>
          <w:szCs w:val="20"/>
          <w:color w:val="auto"/>
        </w:rPr>
      </w:pPr>
    </w:p>
    <w:p>
      <w:pPr>
        <w:jc w:val="both"/>
        <w:ind w:firstLine="396"/>
        <w:spacing w:after="0" w:line="272" w:lineRule="auto"/>
        <w:rPr>
          <w:sz w:val="20"/>
          <w:szCs w:val="20"/>
          <w:color w:val="auto"/>
        </w:rPr>
      </w:pPr>
      <w:r>
        <w:rPr>
          <w:rFonts w:ascii="Arial" w:cs="Arial" w:eastAsia="Arial" w:hAnsi="Arial"/>
          <w:sz w:val="17"/>
          <w:szCs w:val="17"/>
          <w:color w:val="auto"/>
        </w:rPr>
        <w:t>We also took actions in response to the pandemic that focused on helping our employees. These actions included disseminating guidance and information to our employees, facilitating work from home, implementing best practices for employees while working from home, periodic CEO messaging, various programs aimed at employee wellness, including a global wellness program, enhanced leave for employees affected by COVID-19, enhanced awareness towards information security, and updated cyber security and data privacy policies, among others. We have implemented broad travel restrictions and largely moved to virtual-only events for the safety of our employees and our customers. We also implemented pandemic-specific protocols for our essential employees whose jobs require them to be on-site or with our customers by implementing additional safety measures at all of our facilities, including increased frequency in cleaning and disinfecting, and enhanced hygiene and social distancing practices.</w:t>
      </w:r>
    </w:p>
    <w:p>
      <w:pPr>
        <w:spacing w:after="0" w:line="204" w:lineRule="exact"/>
        <w:rPr>
          <w:sz w:val="20"/>
          <w:szCs w:val="20"/>
          <w:color w:val="auto"/>
        </w:rPr>
      </w:pPr>
    </w:p>
    <w:p>
      <w:pPr>
        <w:jc w:val="both"/>
        <w:ind w:firstLine="396"/>
        <w:spacing w:after="0" w:line="273" w:lineRule="auto"/>
        <w:rPr>
          <w:sz w:val="20"/>
          <w:szCs w:val="20"/>
          <w:color w:val="auto"/>
        </w:rPr>
      </w:pPr>
      <w:r>
        <w:rPr>
          <w:rFonts w:ascii="Arial" w:cs="Arial" w:eastAsia="Arial" w:hAnsi="Arial"/>
          <w:sz w:val="17"/>
          <w:szCs w:val="17"/>
          <w:color w:val="auto"/>
        </w:rPr>
        <w:t>We continue to incur additional costs in order to ensure the continuity of our operations and shift towards a work from home model. Such costs include purchase of desktops and laptops for our employees, software and internet connectivity devices, technology tools for productivity enhancement, accommodation, meal, overtime, transportation and regular sanitization and cleaning costs of our offices and facilities. We also expect that we will continue to incur additional costs to monitor and improve operational efficiency of our work from home model, implement new information technology solutions and security measures to safeguard against information security risks and protect the health and safety of our employees as they gradually return to the office. We believe that these short-to-medium-term costs may benefit us in the long-term, as these steps have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broadened our “remote working” capabilities, which we expect to become a permanent feature in our future delivery model, as well as our business continuity plans.</w:t>
      </w:r>
    </w:p>
    <w:p>
      <w:pPr>
        <w:spacing w:after="0" w:line="197"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In response to certain anticipated impacts from COVID-19, we implemented a series of temporary cost reduction measures in 2020 which continued in the first quarter of 2021 to further preserve financial flexibility. These actions included the postponement of certain discretionary spending including travel and marketing expenses, reevaluating the pace of our capital expenditures, rationalizing certain of our real estate and facilities, deferring non-critical hiring among others.</w:t>
      </w:r>
    </w:p>
    <w:p>
      <w:pPr>
        <w:spacing w:after="0" w:line="214" w:lineRule="exact"/>
        <w:rPr>
          <w:sz w:val="20"/>
          <w:szCs w:val="20"/>
          <w:color w:val="auto"/>
        </w:rPr>
      </w:pPr>
    </w:p>
    <w:p>
      <w:pPr>
        <w:jc w:val="both"/>
        <w:ind w:firstLine="396"/>
        <w:spacing w:after="0" w:line="269" w:lineRule="auto"/>
        <w:rPr>
          <w:sz w:val="20"/>
          <w:szCs w:val="20"/>
          <w:color w:val="auto"/>
        </w:rPr>
      </w:pPr>
      <w:r>
        <w:rPr>
          <w:rFonts w:ascii="Arial" w:cs="Arial" w:eastAsia="Arial" w:hAnsi="Arial"/>
          <w:sz w:val="17"/>
          <w:szCs w:val="17"/>
          <w:color w:val="auto"/>
        </w:rPr>
        <w:t>Certain impacts of COVID-19 on our business, results of operations, financial position and cash flow during the first quarter of 2021 has been described above and below, however the full extent of the impact for the period beyond the first quarter of 2021 is currently uncertain and will depend on many factors that are not within our control, including, but not limited to: the duration and scope of the pandemic; the effectiveness of actions taken to contain or mitigate the pandemic and prevent or limit any reoccurrence; governmental, business and individuals’ actions that have been and continue to be taken in response to the pandemic; development and availability of effective treatments and vaccines and the speed at which such vaccines are administered; significant increases in healthcare costs in the event that a significant number of our personnel become infected with COVID-19 and require medical treatment; general economic uncertainty in key global markets and financial market volatility; global economic conditions and levels of economic growth; and the pace of recovery when COVID-19 subsides. Due to the above circumstances and as described generally in this Quarterly Report on Form 10-Q, our financial results, including but not limited to net revenues, income from operations, net income, cash flow and earnings per share, are not necessarily indicative of the results to be expected for the full fiscal year of 2021. We continue to monitor the implications of COVID-19 on our business, as well as our customers’ and suppliers’ businesses.</w:t>
      </w:r>
    </w:p>
    <w:p>
      <w:pPr>
        <w:spacing w:after="0" w:line="20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additional information and risks related to COVID-19, see Item 1A - “Risk Factors” included elsewhere in this Quarterly Report on Form 10-Q and Part I, Item 1A, “Risk Factors” in our Annual Report on Form 10-K for the fiscal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For the three months ended March 31, 2021, we had revenues of $261.4 million compared to revenues of $246.0 million for the three months ended March 31, 2020, an increase of $15.4 million, or 6.3%.</w:t>
      </w:r>
    </w:p>
    <w:p>
      <w:pPr>
        <w:spacing w:after="0" w:line="198"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6"/>
          <w:szCs w:val="16"/>
          <w:color w:val="auto"/>
        </w:rPr>
        <w:t>We serve clients mainly in the United States and the United Kingdom, with these two regions generating 85.8% and 9.5%, respectively, of our total revenues for the three months ended March 31, 2021, and 84.5% and 9.5%, respectively, of our revenues for the three months ended March 31, 2020.</w:t>
      </w:r>
    </w:p>
    <w:p>
      <w:pPr>
        <w:spacing w:after="0" w:line="151"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For the three months ended March 31, 2021 and 2020, our total revenues from our top ten clients accounted for 39.3% and 37.3% of our total revenues, respectively. Our revenue concentration with our top clients remains largely consistent year-over-year and we continue to develop relationships with new clients to diversify our client base. We believe that the loss of any of our top ten clients could have a material adverse effect on our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United States, Europe and Australia.</w:t>
      </w:r>
    </w:p>
    <w:p>
      <w:pPr>
        <w:spacing w:after="0" w:line="209"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i w:val="1"/>
          <w:iCs w:val="1"/>
          <w:color w:val="auto"/>
        </w:rPr>
        <w:t xml:space="preserve">Operations Management Services: </w:t>
      </w:r>
      <w:r>
        <w:rPr>
          <w:rFonts w:ascii="Arial" w:cs="Arial" w:eastAsia="Arial" w:hAnsi="Arial"/>
          <w:sz w:val="16"/>
          <w:szCs w:val="16"/>
          <w:color w:val="auto"/>
        </w:rPr>
        <w:t>We provide our clients with a range of operations management services from our Insurance, Healthcare and</w:t>
      </w:r>
      <w:r>
        <w:rPr>
          <w:rFonts w:ascii="Arial" w:cs="Arial" w:eastAsia="Arial" w:hAnsi="Arial"/>
          <w:sz w:val="16"/>
          <w:szCs w:val="16"/>
          <w:i w:val="1"/>
          <w:iCs w:val="1"/>
          <w:color w:val="auto"/>
        </w:rPr>
        <w:t xml:space="preserve"> </w:t>
      </w:r>
      <w:r>
        <w:rPr>
          <w:rFonts w:ascii="Arial" w:cs="Arial" w:eastAsia="Arial" w:hAnsi="Arial"/>
          <w:sz w:val="16"/>
          <w:szCs w:val="16"/>
          <w:color w:val="auto"/>
        </w:rPr>
        <w:t>Emerging Business operating segments, which typically involve the transfer by our clients to EXL of certain of their business operations, such as claims processing, clinical operations, or financial transaction processing, after which we administer and manage those operations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operations management that include industry-specific digital transformational services as well as cross-industry finance and accounting services as part of the Emerging Business operating segment.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We provide our services under contracts with our clients, which typically have terms of three or more years, with some being rolling contracts with no end dates. Typically, our clients can terminate these contracts with or without cause and with short notice periods. These contracts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20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8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i w:val="1"/>
          <w:iCs w:val="1"/>
          <w:color w:val="auto"/>
        </w:rPr>
        <w:t xml:space="preserve">Analytics: </w:t>
      </w:r>
      <w:r>
        <w:rPr>
          <w:rFonts w:ascii="Arial" w:cs="Arial" w:eastAsia="Arial" w:hAnsi="Arial"/>
          <w:sz w:val="17"/>
          <w:szCs w:val="17"/>
          <w:color w:val="auto"/>
        </w:rPr>
        <w:t>Our analytics services focus on driving improved business outcomes for our customers by unlocking deep insights from data and create</w:t>
      </w:r>
      <w:r>
        <w:rPr>
          <w:rFonts w:ascii="Arial" w:cs="Arial" w:eastAsia="Arial" w:hAnsi="Arial"/>
          <w:sz w:val="17"/>
          <w:szCs w:val="17"/>
          <w:i w:val="1"/>
          <w:iCs w:val="1"/>
          <w:color w:val="auto"/>
        </w:rPr>
        <w:t xml:space="preserve"> </w:t>
      </w:r>
      <w:r>
        <w:rPr>
          <w:rFonts w:ascii="Arial" w:cs="Arial" w:eastAsia="Arial" w:hAnsi="Arial"/>
          <w:sz w:val="17"/>
          <w:szCs w:val="17"/>
          <w:color w:val="auto"/>
        </w:rPr>
        <w:t>data driven solutions across all parts of 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enhance, modernize and enrich structured and unstructured data and use a spectrum of advanced analytical tools and techniques, including our in-house Machine Learning (“ML”) and Artificial Intelligence (“AI”) capabilities to create insights and improve decision making for our clients. We actively cross-sell and, where appropriate, integrate our Analytics services with other operations management services as part of a comprehensive offering for our clients.</w:t>
      </w:r>
    </w:p>
    <w:p>
      <w:pPr>
        <w:spacing w:after="0" w:line="20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three months ended March 31, 2021,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2020.</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2021 and 2020:</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7"/>
        </w:trPr>
        <w:tc>
          <w:tcPr>
            <w:tcW w:w="72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183"/>
        </w:trPr>
        <w:tc>
          <w:tcPr>
            <w:tcW w:w="7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3"/>
              </w:rPr>
              <w:t>(dollars in millions)</w:t>
            </w:r>
          </w:p>
        </w:tc>
        <w:tc>
          <w:tcPr>
            <w:tcW w:w="480" w:type="dxa"/>
            <w:vAlign w:val="bottom"/>
          </w:tcPr>
          <w:p>
            <w:pPr>
              <w:spacing w:after="0"/>
              <w:rPr>
                <w:sz w:val="15"/>
                <w:szCs w:val="15"/>
                <w:color w:val="auto"/>
              </w:rPr>
            </w:pPr>
          </w:p>
        </w:tc>
      </w:tr>
      <w:tr>
        <w:trPr>
          <w:trHeight w:val="231"/>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261.4</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246.0</w:t>
            </w:r>
          </w:p>
        </w:tc>
      </w:tr>
      <w:tr>
        <w:trPr>
          <w:trHeight w:val="229"/>
        </w:trPr>
        <w:tc>
          <w:tcPr>
            <w:tcW w:w="722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158.8</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162.7</w:t>
            </w:r>
          </w:p>
        </w:tc>
      </w:tr>
      <w:tr>
        <w:trPr>
          <w:trHeight w:val="223"/>
        </w:trPr>
        <w:tc>
          <w:tcPr>
            <w:tcW w:w="7220" w:type="dxa"/>
            <w:vAlign w:val="bottom"/>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102.6</w:t>
            </w:r>
          </w:p>
        </w:tc>
        <w:tc>
          <w:tcPr>
            <w:tcW w:w="1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r>
      <w:tr>
        <w:trPr>
          <w:trHeight w:val="209"/>
        </w:trPr>
        <w:tc>
          <w:tcPr>
            <w:tcW w:w="722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Selling and marketing expenses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expense</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r>
      <w:tr>
        <w:trPr>
          <w:trHeight w:val="223"/>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Foreign exchange gain, net</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expense and earnings from equity affiliates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r>
      <w:tr>
        <w:trPr>
          <w:trHeight w:val="230"/>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earnings from equity affiliates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Loss from equity-method investment</w:t>
            </w:r>
          </w:p>
        </w:tc>
        <w:tc>
          <w:tcPr>
            <w:tcW w:w="8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(1) Exclusive of depreciation and amortization expense.</w:t>
      </w:r>
    </w:p>
    <w:p>
      <w:pPr>
        <w:spacing w:after="0" w:line="244"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revenues by reportable segments for the three months ended March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43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72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ind w:right="4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(dollars in millions)</w:t>
            </w: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Business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Analytics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for the three months ended March 31, 2021 were $261.4 million, up $15.4 million, or 6.3%, compared to the three months ended 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23"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Revenue growth in Insurance of $7.4 million was primarily driven by expansion of business from our existing clients aggregating to $6.4 million and an increase in revenues of $1.1 million that was mainly attributable to the appreciation of the Australian dollar and the U.K. pound sterling against the U.S. dollar during the three months ended March 31, 2021, compared to the three months ended March 31, 2020. Insurance revenues were 34.9% and 34.0% of our total revenues in the three months ended March 31, 2021 and March 31, 2020, respectively.</w:t>
      </w:r>
    </w:p>
    <w:p>
      <w:pPr>
        <w:spacing w:after="0" w:line="199"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Revenue growth in Healthcare of $3.3 million was primarily driven by expansion of business from our new and existing clients aggregating to $3.2 million during the three months ended March 31, 2021. Healthcare revenues were 11.6% and 11.0% of our total revenues in the three months ended March 31, 2021 and March 31, 2020, respectively.</w:t>
      </w:r>
    </w:p>
    <w:p>
      <w:pPr>
        <w:spacing w:after="0" w:line="195" w:lineRule="exact"/>
        <w:rPr>
          <w:sz w:val="20"/>
          <w:szCs w:val="20"/>
          <w:color w:val="auto"/>
        </w:rPr>
      </w:pPr>
    </w:p>
    <w:p>
      <w:pPr>
        <w:jc w:val="both"/>
        <w:ind w:right="20" w:firstLine="405"/>
        <w:spacing w:after="0" w:line="289" w:lineRule="auto"/>
        <w:rPr>
          <w:sz w:val="20"/>
          <w:szCs w:val="20"/>
          <w:color w:val="auto"/>
        </w:rPr>
      </w:pPr>
      <w:r>
        <w:rPr>
          <w:rFonts w:ascii="Arial" w:cs="Arial" w:eastAsia="Arial" w:hAnsi="Arial"/>
          <w:sz w:val="16"/>
          <w:szCs w:val="16"/>
          <w:color w:val="auto"/>
        </w:rPr>
        <w:t>Revenue decline in Emerging Business of $5.1 million was primarily driven by lower travel and transportation volumes due to the impact of COVID-19. Emerging Business revenues were 14.4% and 17.4% of our total revenues in the three months ended March 31, 2021 and March 31, 2020, respectively.</w:t>
      </w:r>
    </w:p>
    <w:p>
      <w:pPr>
        <w:spacing w:after="0" w:line="16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Revenue growth in Analytics of $9.8 million was attributable to the higher volumes in our annuity and project-based engagements from our new and existing clients of $9.2 million and an increase in revenues of $0.6 million mainly attributable to the appreciation of the U.K. pound sterling against the U.S. dollar during the three months ended March 31, 2021, compared to the three months ended March 31, 2020. Analytics revenues were 39.1% and 37.6% of our total revenues in the three months ended March 31, 2021 and March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Cost of Revenues</w:t>
            </w: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Gross Margin</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Percentage change</w:t>
            </w:r>
          </w:p>
        </w:tc>
        <w:tc>
          <w:tcPr>
            <w:tcW w:w="27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10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3"/>
        </w:trPr>
        <w:tc>
          <w:tcPr>
            <w:tcW w:w="20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1340" w:type="dxa"/>
            <w:vAlign w:val="bottom"/>
            <w:gridSpan w:val="2"/>
            <w:vMerge w:val="continue"/>
          </w:tcPr>
          <w:p>
            <w:pPr>
              <w:spacing w:after="0"/>
              <w:rPr>
                <w:sz w:val="5"/>
                <w:szCs w:val="5"/>
                <w:color w:val="auto"/>
              </w:rPr>
            </w:pPr>
          </w:p>
        </w:tc>
        <w:tc>
          <w:tcPr>
            <w:tcW w:w="12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130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320" w:type="dxa"/>
            <w:vAlign w:val="bottom"/>
            <w:gridSpan w:val="5"/>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0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ind w:left="293"/>
              <w:spacing w:after="0"/>
              <w:rPr>
                <w:sz w:val="20"/>
                <w:szCs w:val="20"/>
                <w:color w:val="auto"/>
              </w:rPr>
            </w:pPr>
            <w:r>
              <w:rPr>
                <w:rFonts w:ascii="Arial" w:cs="Arial" w:eastAsia="Arial" w:hAnsi="Arial"/>
                <w:sz w:val="18"/>
                <w:szCs w:val="18"/>
                <w:color w:val="auto"/>
                <w:w w:val="91"/>
              </w:rPr>
              <w:t>(2.9)</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1"/>
              </w:rPr>
              <w:t>(2.2)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Emerging Business</w:t>
            </w:r>
          </w:p>
        </w:tc>
        <w:tc>
          <w:tcPr>
            <w:tcW w:w="1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center"/>
              <w:ind w:left="293"/>
              <w:spacing w:after="0"/>
              <w:rPr>
                <w:sz w:val="20"/>
                <w:szCs w:val="20"/>
                <w:color w:val="auto"/>
              </w:rPr>
            </w:pPr>
            <w:r>
              <w:rPr>
                <w:rFonts w:ascii="Arial" w:cs="Arial" w:eastAsia="Arial" w:hAnsi="Arial"/>
                <w:sz w:val="18"/>
                <w:szCs w:val="18"/>
                <w:color w:val="auto"/>
                <w:w w:val="91"/>
              </w:rPr>
              <w:t>(4.7)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87"/>
              </w:rPr>
              <w:t>5.9</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158.8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91"/>
              </w:rPr>
              <w:t>(3.9)</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33.9 %</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months ended March 31, 2021, cost of revenues was $158.8 million compared to $162.7 million for the three months ended March 31, 2020, a decrease of $3.9 million, or 2.4%. Our gross margin for the three months ended March 31, 2021 was 39.2% compared to 33.9% for the three months ended March 31, 2020, an increase of 530 basis points (“bps”) primarily driven by higher revenues and lower operating costs.</w:t>
      </w:r>
    </w:p>
    <w:p>
      <w:pPr>
        <w:spacing w:after="0" w:line="19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decrease in cost of revenues in Insurance of $2.9 million was primarily due to decreases in travel costs of $1.9 million, lower employee-related costs of $1.1 million and foreign exchange gain, net of hedging of $0.3 million. This was partially offset by higher technology costs of $0.4 million, primarily due to increased usage of the work from home model. Gross margin in Insurance increased by 890 bps during the three months ended March 31, 2021 compared to the three months ended March 31, 2020, primarily due to higher revenues, expansion in margin in certain existing clients and operational efficiencies during the three months ended March 31, 2021.</w:t>
      </w:r>
    </w:p>
    <w:p>
      <w:pPr>
        <w:spacing w:after="0" w:line="21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decrease in cost of revenues in Healthcare of $2.2 million was primarily due to decreases in employee-related costs of $2.5 million and lower travel costs of $0.3 million. This was partially offset by higher technology costs of $0.4 million, primarily due to increased usage of the work from home model and facilities cost of $0.2 million. Gross margin in Healthcare increased by 1,500 bps during the three months ended March 31, 2021, compared to the three months ended March 31, 2020, primarily due to higher revenues and increased mix of higher margin business during the three months ended March 31, 2021.</w:t>
      </w:r>
    </w:p>
    <w:p>
      <w:pPr>
        <w:spacing w:after="0" w:line="21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decrease in cost of revenues in Emerging Business of $4.7 million was primarily due to a decreases in employee-related costs of $3.5 million, lower facilities costs of $0.7 million and lower travel costs of $0.5 million. Gross margin in Emerging Business increased by 420 bps during the three months ended March 31, 2021, compared to the three months ended March 31, 2020, primarily due to decrease in employee-related costs and other operating costs, partially offset by lower revenues during the three months ended March 31, 2021.</w:t>
      </w:r>
    </w:p>
    <w:p>
      <w:pPr>
        <w:spacing w:after="0" w:line="215"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increase in cost of revenues in Analytics of $5.9 million was primarily due to increase in employee-related costs of $4.8 million, higher other operating costs of $3.0 million and higher technology costs of $0.8 million. This was partially offset by lower travel costs of $1.7 million, foreign exchange gain, net of hedging of $0.4 million and lower facilities costs of $0.6 million. Gross margin in Analytics increased by 40 bps during the three months ended March 31, 2021, compared to the three months ended March 31, 2020, primarily due to higher revenues and increased mix of higher margin business during the three months ended March 31,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63"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460" w:type="dxa"/>
            <w:vAlign w:val="bottom"/>
            <w:gridSpan w:val="4"/>
          </w:tcPr>
          <w:p>
            <w:pPr>
              <w:jc w:val="center"/>
              <w:ind w:left="439"/>
              <w:spacing w:after="0"/>
              <w:rPr>
                <w:sz w:val="20"/>
                <w:szCs w:val="20"/>
                <w:color w:val="auto"/>
              </w:rPr>
            </w:pPr>
            <w:r>
              <w:rPr>
                <w:rFonts w:ascii="Arial" w:cs="Arial" w:eastAsia="Arial" w:hAnsi="Arial"/>
                <w:sz w:val="14"/>
                <w:szCs w:val="14"/>
                <w:b w:val="1"/>
                <w:bCs w:val="1"/>
                <w:color w:val="auto"/>
                <w:w w:val="94"/>
              </w:rPr>
              <w:t>Three months ended 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5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63"/>
        </w:trPr>
        <w:tc>
          <w:tcPr>
            <w:tcW w:w="510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5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5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5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w w:val="93"/>
              </w:rPr>
              <w:t>(dollars in millions)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and marketing expenses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line="204" w:lineRule="exact"/>
              <w:rPr>
                <w:sz w:val="20"/>
                <w:szCs w:val="20"/>
                <w:color w:val="auto"/>
              </w:rPr>
            </w:pPr>
            <w:r>
              <w:rPr>
                <w:rFonts w:ascii="Arial" w:cs="Arial" w:eastAsia="Arial" w:hAnsi="Arial"/>
                <w:sz w:val="18"/>
                <w:szCs w:val="18"/>
                <w:color w:val="auto"/>
                <w:w w:val="96"/>
              </w:rPr>
              <w:t>18.7 %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line="204" w:lineRule="exact"/>
              <w:rPr>
                <w:sz w:val="20"/>
                <w:szCs w:val="20"/>
                <w:color w:val="auto"/>
              </w:rPr>
            </w:pPr>
            <w:r>
              <w:rPr>
                <w:rFonts w:ascii="Arial" w:cs="Arial" w:eastAsia="Arial" w:hAnsi="Arial"/>
                <w:sz w:val="18"/>
                <w:szCs w:val="18"/>
                <w:color w:val="auto"/>
                <w:w w:val="92"/>
              </w:rPr>
              <w:t>17.6 %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 w:firstLine="405"/>
        <w:spacing w:after="0" w:line="291" w:lineRule="auto"/>
        <w:rPr>
          <w:sz w:val="20"/>
          <w:szCs w:val="20"/>
          <w:color w:val="auto"/>
        </w:rPr>
      </w:pPr>
      <w:r>
        <w:rPr>
          <w:rFonts w:ascii="Arial" w:cs="Arial" w:eastAsia="Arial" w:hAnsi="Arial"/>
          <w:sz w:val="17"/>
          <w:szCs w:val="17"/>
          <w:color w:val="auto"/>
        </w:rPr>
        <w:t>The increase in SG&amp;A expenses of $5.5 million was primarily due to higher employee-related costs of $6.9 million, higher other operating costs of $1.2 million, partially offset by lower facilities costs of $1.5 million and lower travel costs of $1.1 million due to COVID-19 cost reduction measures.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2"/>
        </w:trPr>
        <w:tc>
          <w:tcPr>
            <w:tcW w:w="514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5140" w:type="dxa"/>
            <w:vAlign w:val="bottom"/>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5"/>
              </w:rPr>
              <w:t>0.4</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amortization expense</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1"/>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1"/>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1"/>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rPr>
              <w:t>4.6 %</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rPr>
              <w:t>5.1 %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The decrease in intangibles amortization expense of $0.7 million was primarily due to end of useful lives for certain intangible assets during the three months ended March 31, 2021, compared to the three months ended March 31, 2020. The increase in depreciation expense of $0.4 million was primarily due to depreciation related to our investments in new operating centers, internally developed software and accelerated depreciation resulting from a reduction in useful lives related to certain operating centers, due to the impact of COVID-19.</w:t>
      </w:r>
    </w:p>
    <w:p>
      <w:pPr>
        <w:spacing w:after="0" w:line="2"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by $14.1 million, or 51.2%, from $27.5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to $41.6 million for the three months ended March 31, 2021, primarily due to higher revenues and lower cost of revenues, partially offset by higher SG&amp;A expenses during the three months ended March 31, 2021. As a percentage of revenues, income from operations increased from 11.2% for the three months ended March 31, 2020 to 15.9% for the three months ended March 31, 2021.</w:t>
      </w:r>
    </w:p>
    <w:p>
      <w:pPr>
        <w:spacing w:after="0" w:line="216"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the movement of the U.S. dollar against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Indian rupee, the U.K. pound sterling, the Philippine peso and the South African ZAR during the three months ended March 31, 2021. The average exchange rate of the U.S. dollar against the Indian rupee increased from 73.08 during the three months ended March 31, 2020 to 73.17 during the three months ended March 31, 2021. The average exchange rate of the U.K. pound sterling against the U.S. dollar increased from 1.28 during the three months ended March 31, 2020 to 1.38 during the three months ended March 31, 2021. The average exchange rate of the U.S. dollar against the Philippine peso decreased from 50.83 during the three months ended March 31, 2020 to 48.39 during the three months ended March 31, 2021. The average exchange rate of the U.S. dollar against the South African ZAR decreased from 16.13 during the three months ended March 31, 2020 to 15.02 during the three months ended March 31, 2021.</w:t>
      </w:r>
    </w:p>
    <w:p>
      <w:pPr>
        <w:spacing w:after="0" w:line="221"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We recorded a net foreign exchange gain of $0.4 million for the three months ended March 31, 2021 compared to the net foreign exchange gain of $1.4 million for the three months ended March 31, 2020.</w:t>
      </w:r>
    </w:p>
    <w:p>
      <w:pPr>
        <w:spacing w:after="0" w:line="198"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from $3.1 million for the three months ended March 31, 2020 to $2.5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 primarily due to lower outstanding borrowings and lower effective interest rates of 2.0% under our Credit Facility during the three months ended March 31, 2021, compared to 3.0% during the three months ended March 31, 2020.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37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62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76"/>
              <w:spacing w:after="0"/>
              <w:rPr>
                <w:sz w:val="20"/>
                <w:szCs w:val="20"/>
                <w:color w:val="auto"/>
              </w:rPr>
            </w:pPr>
            <w:r>
              <w:rPr>
                <w:rFonts w:ascii="Arial" w:cs="Arial" w:eastAsia="Arial" w:hAnsi="Arial"/>
                <w:sz w:val="14"/>
                <w:szCs w:val="14"/>
                <w:b w:val="1"/>
                <w:bCs w:val="1"/>
                <w:color w:val="auto"/>
              </w:rPr>
              <w:t>Percentage</w:t>
            </w:r>
          </w:p>
        </w:tc>
      </w:tr>
      <w:tr>
        <w:trPr>
          <w:trHeight w:val="201"/>
        </w:trPr>
        <w:tc>
          <w:tcPr>
            <w:tcW w:w="55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380" w:type="dxa"/>
            <w:vAlign w:val="bottom"/>
          </w:tcPr>
          <w:p>
            <w:pPr>
              <w:jc w:val="right"/>
              <w:ind w:right="396"/>
              <w:spacing w:after="0"/>
              <w:rPr>
                <w:sz w:val="20"/>
                <w:szCs w:val="20"/>
                <w:color w:val="auto"/>
              </w:rPr>
            </w:pPr>
            <w:r>
              <w:rPr>
                <w:rFonts w:ascii="Arial" w:cs="Arial" w:eastAsia="Arial" w:hAnsi="Arial"/>
                <w:sz w:val="14"/>
                <w:szCs w:val="14"/>
                <w:b w:val="1"/>
                <w:bCs w:val="1"/>
                <w:color w:val="auto"/>
              </w:rPr>
              <w:t>change</w:t>
            </w:r>
          </w:p>
        </w:tc>
      </w:tr>
      <w:tr>
        <w:trPr>
          <w:trHeight w:val="183"/>
        </w:trPr>
        <w:tc>
          <w:tcPr>
            <w:tcW w:w="5540" w:type="dxa"/>
            <w:vAlign w:val="bottom"/>
            <w:tcBorders>
              <w:bottom w:val="single" w:sz="8" w:color="CCEEFF"/>
            </w:tcBorders>
          </w:tcPr>
          <w:p>
            <w:pPr>
              <w:spacing w:after="0"/>
              <w:rPr>
                <w:sz w:val="15"/>
                <w:szCs w:val="15"/>
                <w:color w:val="auto"/>
              </w:rPr>
            </w:pPr>
          </w:p>
        </w:tc>
        <w:tc>
          <w:tcPr>
            <w:tcW w:w="2120" w:type="dxa"/>
            <w:vAlign w:val="bottom"/>
            <w:tcBorders>
              <w:top w:val="single" w:sz="8" w:color="auto"/>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10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spacing w:after="0"/>
              <w:rPr>
                <w:sz w:val="15"/>
                <w:szCs w:val="15"/>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and mark-to-market of mutual funds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91"/>
              </w:rPr>
              <w:t>(0.9)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Interest and dividend income</w:t>
            </w:r>
          </w:p>
        </w:tc>
        <w:tc>
          <w:tcPr>
            <w:tcW w:w="7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left="534"/>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91"/>
              </w:rPr>
              <w:t>(0.3)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7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center"/>
              <w:ind w:left="514"/>
              <w:spacing w:after="0"/>
              <w:rPr>
                <w:sz w:val="20"/>
                <w:szCs w:val="20"/>
                <w:color w:val="auto"/>
              </w:rPr>
            </w:pPr>
            <w:r>
              <w:rPr>
                <w:rFonts w:ascii="Arial" w:cs="Arial" w:eastAsia="Arial" w:hAnsi="Arial"/>
                <w:sz w:val="18"/>
                <w:szCs w:val="18"/>
                <w:color w:val="auto"/>
                <w:w w:val="91"/>
              </w:rPr>
              <w:t>(1.1)</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r>
      <w:tr>
        <w:trPr>
          <w:trHeight w:val="20"/>
        </w:trPr>
        <w:tc>
          <w:tcPr>
            <w:tcW w:w="5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Other income, net decreased by $1.1 million, from $2.5 million for the three months ended March 31, 2020 to $1.4 million for the three months ended March 31, 2021, primarily due to lower return on mutual fund investments of $1.0 million during the three months ended March 31, 2021, compared to the three months ended March 31, 2020.</w:t>
      </w:r>
    </w:p>
    <w:p>
      <w:pPr>
        <w:spacing w:after="0" w:line="209"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increased from 20.7% during the three months ended March 31, 2020 to 21.9%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2021. We recorded income tax expense of $9.0 million and $5.8 million for the three months ended March 31, 2021 and 2020, respectively. The increase in income tax expense was primarily as a result of higher profit during the three months ended March 31, 2021 compared to the three months ended March 31, 2020.</w:t>
      </w:r>
    </w:p>
    <w:p>
      <w:pPr>
        <w:spacing w:after="0" w:line="215"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$22.4 million for the three months ended March 31, 2020 to $31.9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2021, primarily due to increase in income from operations of $14.1 million and lower interest expense of $0.6 million, partially offset by higher income tax expense of $3.2 million, lower other income, net of $1.1 million and lower foreign exchange gain, net of $1.0 million. As a percentage of revenues, net income increased from 9.1% for the three months ended March 31, 2020 to 12.2% for the three months ended March 31, 2021.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6"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78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68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r>
      <w:tr>
        <w:trPr>
          <w:trHeight w:val="182"/>
        </w:trPr>
        <w:tc>
          <w:tcPr>
            <w:tcW w:w="6820" w:type="dxa"/>
            <w:vAlign w:val="bottom"/>
          </w:tcPr>
          <w:p>
            <w:pPr>
              <w:spacing w:after="0"/>
              <w:rPr>
                <w:sz w:val="15"/>
                <w:szCs w:val="15"/>
                <w:color w:val="auto"/>
              </w:rPr>
            </w:pPr>
          </w:p>
        </w:tc>
        <w:tc>
          <w:tcPr>
            <w:tcW w:w="228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spacing w:after="0"/>
              <w:rPr>
                <w:sz w:val="15"/>
                <w:szCs w:val="15"/>
                <w:color w:val="auto"/>
              </w:rPr>
            </w:pPr>
          </w:p>
        </w:tc>
      </w:tr>
      <w:tr>
        <w:trPr>
          <w:trHeight w:val="23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cash, cash equivalents and restricted cash</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225.5</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127.0</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Net cash provided by/(used for) operating activities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(13.6)</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for)/provided by investing activities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Net cash (used for)/provided by financing activities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(29.0)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Closing cash, cash equivalents and restricted cash</w:t>
            </w:r>
          </w:p>
        </w:tc>
        <w:tc>
          <w:tcPr>
            <w:tcW w:w="840" w:type="dxa"/>
            <w:vAlign w:val="bottom"/>
            <w:tcBorders>
              <w:bottom w:val="single" w:sz="8" w:color="auto"/>
            </w:tcBorders>
          </w:tcPr>
          <w:p>
            <w:pPr>
              <w:jc w:val="right"/>
              <w:ind w:right="64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184.7</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233.5</w:t>
            </w:r>
          </w:p>
        </w:tc>
      </w:tr>
      <w:tr>
        <w:trPr>
          <w:trHeight w:val="20"/>
        </w:trPr>
        <w:tc>
          <w:tcPr>
            <w:tcW w:w="6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As of March 31, 2021 and 2020, we had $375.8 million and $367.4 million, respectively, in cash, cash equivalents and short-term investments, of which $337.5 million, and $273.9 million, respectively, is located in foreign jurisdictions that upon distribution may be subject to withholding and other taxes. We periodically evaluate opportunities regarding distribution to fund our operations in the United States and other geographies, and as and when we decide to distribute, we may have to accrue additional taxes in accordance with local tax laws, rules and regulations in the relevant foreign jurisdictions.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Net cash provided by operating activities was $15.2 million for the three months ended March 31, 2021 compared to net cash used by operating activities of $13.6 million for the three months ended March 31, 2020, reflecting higher cash earnings along with lower working capital needs. The major drivers contributing to the increase of $28.8 million year-over-year included the following:</w:t>
      </w:r>
    </w:p>
    <w:p>
      <w:pPr>
        <w:spacing w:after="0" w:line="249" w:lineRule="exact"/>
        <w:rPr>
          <w:sz w:val="20"/>
          <w:szCs w:val="20"/>
          <w:color w:val="auto"/>
        </w:rPr>
      </w:pPr>
    </w:p>
    <w:p>
      <w:pPr>
        <w:ind w:left="660" w:right="2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Increase in net income of $9.5 million in the three months ended March 31, 2021 compared to the three months ended March 31, 2020, primarily due to an increase in income from operations of $14.1 million driven by higher revenues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lower cost of revenues, offset by higher income tax expense of $3.1 million and lower other income, net of interest expense of $1.5 million.</w:t>
      </w:r>
    </w:p>
    <w:p>
      <w:pPr>
        <w:spacing w:after="0" w:line="275" w:lineRule="exact"/>
        <w:rPr>
          <w:sz w:val="20"/>
          <w:szCs w:val="20"/>
          <w:color w:val="auto"/>
        </w:rPr>
      </w:pPr>
    </w:p>
    <w:p>
      <w:pPr>
        <w:jc w:val="both"/>
        <w:ind w:left="660" w:hanging="328"/>
        <w:spacing w:after="0" w:line="30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accounts receivable, including advance billings, contributed lower cash flow of $14.9 million in the three months ended March 31, 2021 compared to the three months ended March 31, 2020. The decrease was a result of the advance collections from certain customers during the three months ended December 31, 2020, partially offset by higher collections of our accounts receivables during the three months ended March 31, 2021. Our accounts receivable days sales outstanding improved to 54 days as of March 31, 2021 from 68 days as of March 31, 2020.</w:t>
      </w:r>
    </w:p>
    <w:p>
      <w:pPr>
        <w:spacing w:after="0" w:line="184" w:lineRule="exact"/>
        <w:rPr>
          <w:rFonts w:ascii="Arial" w:cs="Arial" w:eastAsia="Arial" w:hAnsi="Arial"/>
          <w:sz w:val="16"/>
          <w:szCs w:val="16"/>
          <w:color w:val="auto"/>
        </w:rPr>
      </w:pPr>
    </w:p>
    <w:p>
      <w:pPr>
        <w:jc w:val="both"/>
        <w:ind w:left="660" w:hanging="328"/>
        <w:spacing w:after="0" w:line="24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accrued employee costs, accrued expenses and other liabilities contributed higher cash flow of $24.2 million in the three months ended March 31, 2021 compared to the three months ended March 31, 2020. The increase was primarily due to lower payment and higher provisions of annual performance incentive of $12.3 million and higher accrued expenses of $11.9 million, during the three months ended March 31, 2021 compared to the three months ended March 31, 2020.</w:t>
      </w:r>
    </w:p>
    <w:p>
      <w:pPr>
        <w:spacing w:after="0" w:line="214"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drivers increasing cash flows in the three months ended March 31, 2021 compared to the three months ended March 31, 2020 included: income tax expense, net of advances and deferred taxes, of $9.9 million, primarily due to higher income tax provisions and timing of payments.</w:t>
      </w:r>
    </w:p>
    <w:p>
      <w:pPr>
        <w:spacing w:after="0" w:line="151" w:lineRule="exact"/>
        <w:rPr>
          <w:sz w:val="20"/>
          <w:szCs w:val="20"/>
          <w:color w:val="auto"/>
        </w:rPr>
      </w:pPr>
    </w:p>
    <w:p>
      <w:pPr>
        <w:jc w:val="both"/>
        <w:ind w:firstLine="405"/>
        <w:spacing w:after="0"/>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were $26.0 million for the three months ended March 31, 2021 as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provided by investing activities of $36.0 million for the three months ended March 31, 2020. The decrease is mainly due to net purchase of investments of $13.5 million during three months ended March 31, 2021 as compared to net redemption of investments of $49.0 million during the three months ended March 31, 2020, higher capital expenditures for purchase of long-lived assets, including investments in infrastructure, technology assets, software and product developments of $0.3 million, partially offset by an acquisition of an additional stake in our equity affiliate of $0.7 million during the three months ended March 31, 2020 compared to the three months ended March 31, 2021.</w:t>
      </w:r>
    </w:p>
    <w:p>
      <w:pPr>
        <w:spacing w:after="0" w:line="2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flows used for financing activities were $29.0 million during the three months ended March 31, 2021 as compared to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provided by financing activities of $86.7 million during the three months ended March 31, 2020. The decrease was primarily due to net proceeds of $99.8 million under our revolving Credit Facility and higher proceeds received from the exercise of stock options of $0.9 million during the three months ended March 31, 2020. This was partially offset by higher purchases of treasury stock by $15.0 million under our share repurchase program during the three months ended March 31, 2021 as compared to the three months ended March 31, 2020.</w:t>
      </w:r>
    </w:p>
    <w:p>
      <w:pPr>
        <w:spacing w:after="0" w:line="20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We expect to use cash from operating activities to maintain and expand our business by making investments, primarily related to new facilities and capital expenditures associated with leasehold improvements to build our facilities, digital capabilities and purchase telecommunications equipment and computer hardware and software in connection with managing client operations.</w:t>
      </w:r>
    </w:p>
    <w:p>
      <w:pPr>
        <w:spacing w:after="0" w:line="209"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We incurred $12.7 million of capital expenditures in the three months ended March 31, 2021. We expect to incur total capital expenditures of between $35.0 million to $40.0 million in 2021, primarily to meet our growth requirements, including additions to our facilities as well as investments in technology applications, product development, digital technology, advanced automation, robotics and infrastructure.</w:t>
      </w:r>
    </w:p>
    <w:p>
      <w:pPr>
        <w:spacing w:after="0" w:line="209"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(see Note 24 - Commitments and Contingencies to our unaudited consolidated 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182"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The Coronavirus Aid, Relief, and Economic Security Act, (the “CARES Act”) allows employers to defer the payment of the employer share of Federal Insurance Contributions Act (“FICA”) taxes for the period from April 1, 2020 and ending December 31, 2020. As of March 31, 2021 and December 31, 2020, we deferred our contributions to FICA of $6.3 million,</w:t>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respectively, under the CARES Act. The deferred amount will be payable as follows: (1) 50% of the deferred amount will be paid on December 31, 2021 and (2) the remaining 50% of the deferred amount will be paid on December 31,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 and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our Debt balances as of March 31, 2021 and 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As of March 31, 2021</w:t>
            </w: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3"/>
              </w:rPr>
              <w:t>(dollars in millions)</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200"/>
              <w:spacing w:after="0" w:line="175" w:lineRule="exact"/>
              <w:rPr>
                <w:sz w:val="20"/>
                <w:szCs w:val="20"/>
                <w:color w:val="auto"/>
              </w:rPr>
            </w:pPr>
            <w:r>
              <w:rPr>
                <w:rFonts w:ascii="Arial" w:cs="Arial" w:eastAsia="Arial" w:hAnsi="Arial"/>
                <w:sz w:val="18"/>
                <w:szCs w:val="18"/>
                <w:b w:val="1"/>
                <w:bCs w:val="1"/>
                <w:color w:val="auto"/>
                <w:w w:val="92"/>
              </w:rPr>
              <w:t>Revolving Credit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4"/>
            <w:vMerge w:val="restart"/>
          </w:tcPr>
          <w:p>
            <w:pPr>
              <w:ind w:left="620"/>
              <w:spacing w:after="0"/>
              <w:rPr>
                <w:sz w:val="20"/>
                <w:szCs w:val="20"/>
                <w:color w:val="auto"/>
              </w:rPr>
            </w:pPr>
            <w:r>
              <w:rPr>
                <w:rFonts w:ascii="Arial" w:cs="Arial" w:eastAsia="Arial" w:hAnsi="Arial"/>
                <w:sz w:val="18"/>
                <w:szCs w:val="18"/>
                <w:b w:val="1"/>
                <w:bCs w:val="1"/>
                <w:color w:val="auto"/>
              </w:rPr>
              <w:t>Notes</w:t>
            </w:r>
          </w:p>
        </w:tc>
        <w:tc>
          <w:tcPr>
            <w:tcW w:w="400" w:type="dxa"/>
            <w:vAlign w:val="bottom"/>
          </w:tcPr>
          <w:p>
            <w:pPr>
              <w:spacing w:after="0"/>
              <w:rPr>
                <w:sz w:val="15"/>
                <w:szCs w:val="15"/>
                <w:color w:val="auto"/>
              </w:rPr>
            </w:pPr>
          </w:p>
        </w:tc>
        <w:tc>
          <w:tcPr>
            <w:tcW w:w="14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Facility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2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2"/>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borrowings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138.7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borrowings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As of December 31, 2020</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3"/>
              </w:rPr>
              <w:t>(dollars in millions)</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260"/>
              <w:spacing w:after="0" w:line="175" w:lineRule="exact"/>
              <w:rPr>
                <w:sz w:val="20"/>
                <w:szCs w:val="20"/>
                <w:color w:val="auto"/>
              </w:rPr>
            </w:pPr>
            <w:r>
              <w:rPr>
                <w:rFonts w:ascii="Arial" w:cs="Arial" w:eastAsia="Arial" w:hAnsi="Arial"/>
                <w:sz w:val="18"/>
                <w:szCs w:val="18"/>
                <w:b w:val="1"/>
                <w:bCs w:val="1"/>
                <w:color w:val="auto"/>
                <w:w w:val="90"/>
              </w:rPr>
              <w:t>Revolving Credit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Notes</w:t>
            </w:r>
          </w:p>
        </w:tc>
        <w:tc>
          <w:tcPr>
            <w:tcW w:w="400" w:type="dxa"/>
            <w:vAlign w:val="bottom"/>
          </w:tcPr>
          <w:p>
            <w:pPr>
              <w:spacing w:after="0"/>
              <w:rPr>
                <w:sz w:val="15"/>
                <w:szCs w:val="15"/>
                <w:color w:val="auto"/>
              </w:rPr>
            </w:pPr>
          </w:p>
        </w:tc>
        <w:tc>
          <w:tcPr>
            <w:tcW w:w="14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Facility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borrowings</w:t>
            </w: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64.0</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64.0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138.0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borrowings</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i w:val="1"/>
          <w:iCs w:val="1"/>
          <w:color w:val="auto"/>
        </w:rPr>
        <w:t>*Unamortized debt issuance costs for our revolving Credit Facility of $0.4 million and $0.5 million as of March 31, 2021 and December 31, 2020, respectively, is presented under “Other current assets” and “Other assets” in our consolidated balance sheets.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17 - Borrowings to our unaudited consolidated financial statements herein for further details on our debt facilities.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3" w:lineRule="exact"/>
        <w:rPr>
          <w:sz w:val="20"/>
          <w:szCs w:val="20"/>
          <w:color w:val="auto"/>
        </w:rPr>
      </w:pPr>
    </w:p>
    <w:p>
      <w:pPr>
        <w:jc w:val="both"/>
        <w:ind w:firstLine="405"/>
        <w:spacing w:after="0" w:line="232" w:lineRule="auto"/>
        <w:rPr>
          <w:sz w:val="20"/>
          <w:szCs w:val="20"/>
          <w:color w:val="auto"/>
        </w:rPr>
      </w:pPr>
      <w:r>
        <w:rPr>
          <w:rFonts w:ascii="Arial" w:cs="Arial" w:eastAsia="Arial" w:hAnsi="Arial"/>
          <w:sz w:val="17"/>
          <w:szCs w:val="17"/>
          <w:color w:val="auto"/>
        </w:rPr>
        <w:t>In the ordinary course of business, we provide standby letters of credit to third parties primarily for facility leases. As of March 31, 2021 and December 31, 2020, we had outstanding letters of credit of $0.5 million, each, that were not recognized in our unaudited and audited consolidated balance sheets, respectively. These are not reasonably likely to have, a current or future material effect on our financial condition, revenues or expenses, results of operations, liquidity, capital expenditures or capital resources. We had no other off balance sheet arrangements or obligations.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March 31, 2021:</w:t>
      </w:r>
    </w:p>
    <w:p>
      <w:pPr>
        <w:spacing w:after="0" w:line="24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Payment Due by Period</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79"/>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Less than</w:t>
            </w:r>
          </w:p>
        </w:tc>
        <w:tc>
          <w:tcPr>
            <w:tcW w:w="280" w:type="dxa"/>
            <w:vAlign w:val="bottom"/>
          </w:tcPr>
          <w:p>
            <w:pPr>
              <w:spacing w:after="0"/>
              <w:rPr>
                <w:sz w:val="15"/>
                <w:szCs w:val="15"/>
                <w:color w:val="auto"/>
              </w:rPr>
            </w:pPr>
          </w:p>
        </w:tc>
        <w:tc>
          <w:tcPr>
            <w:tcW w:w="900" w:type="dxa"/>
            <w:vAlign w:val="bottom"/>
          </w:tcPr>
          <w:p>
            <w:pPr>
              <w:jc w:val="right"/>
              <w:ind w:right="395"/>
              <w:spacing w:after="0"/>
              <w:rPr>
                <w:sz w:val="20"/>
                <w:szCs w:val="20"/>
                <w:color w:val="auto"/>
              </w:rPr>
            </w:pPr>
            <w:r>
              <w:rPr>
                <w:rFonts w:ascii="Arial" w:cs="Arial" w:eastAsia="Arial" w:hAnsi="Arial"/>
                <w:sz w:val="14"/>
                <w:szCs w:val="14"/>
                <w:b w:val="1"/>
                <w:bCs w:val="1"/>
                <w:color w:val="auto"/>
              </w:rPr>
              <w:t>1-3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34"/>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After</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4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1 year</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years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5 years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187"/>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1"/>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(b)</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Borrowings: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080" w:type="dxa"/>
            <w:vAlign w:val="bottom"/>
          </w:tcPr>
          <w:p>
            <w:pPr>
              <w:ind w:left="340"/>
              <w:spacing w:after="0" w:line="230" w:lineRule="exact"/>
              <w:rPr>
                <w:sz w:val="20"/>
                <w:szCs w:val="20"/>
                <w:color w:val="auto"/>
              </w:rPr>
            </w:pPr>
            <w:r>
              <w:rPr>
                <w:rFonts w:ascii="Arial" w:cs="Arial" w:eastAsia="Arial" w:hAnsi="Arial"/>
                <w:sz w:val="18"/>
                <w:szCs w:val="18"/>
                <w:color w:val="auto"/>
              </w:rPr>
              <w:t xml:space="preserve">Principal payments </w:t>
            </w:r>
            <w:r>
              <w:rPr>
                <w:rFonts w:ascii="Arial" w:cs="Arial" w:eastAsia="Arial" w:hAnsi="Arial"/>
                <w:sz w:val="23"/>
                <w:szCs w:val="23"/>
                <w:color w:val="auto"/>
                <w:vertAlign w:val="superscript"/>
              </w:rPr>
              <w:t>(c)</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239.0</w:t>
            </w:r>
          </w:p>
        </w:tc>
      </w:tr>
      <w:tr>
        <w:trPr>
          <w:trHeight w:val="229"/>
        </w:trPr>
        <w:tc>
          <w:tcPr>
            <w:tcW w:w="408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3"/>
                <w:szCs w:val="23"/>
                <w:color w:val="auto"/>
                <w:vertAlign w:val="superscript"/>
              </w:rPr>
              <w:t>(d)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408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contractual cash obligations </w:t>
            </w:r>
            <w:r>
              <w:rPr>
                <w:rFonts w:ascii="Arial" w:cs="Arial" w:eastAsia="Arial" w:hAnsi="Arial"/>
                <w:sz w:val="23"/>
                <w:szCs w:val="23"/>
                <w:color w:val="auto"/>
                <w:vertAlign w:val="superscript"/>
              </w:rPr>
              <w:t>(e)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w:t>
            </w:r>
          </w:p>
        </w:tc>
      </w:tr>
      <w:tr>
        <w:trPr>
          <w:trHeight w:val="21"/>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undiscounted operating lease liabilities payable over the lease term.</w:t>
      </w:r>
    </w:p>
    <w:p>
      <w:pPr>
        <w:spacing w:after="0" w:line="238"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estimated employee benefit payments under the Gratuity Plan.</w:t>
      </w:r>
    </w:p>
    <w:p>
      <w:pPr>
        <w:spacing w:after="0" w:line="238" w:lineRule="exact"/>
        <w:rPr>
          <w:rFonts w:ascii="Arial" w:cs="Arial" w:eastAsia="Arial" w:hAnsi="Arial"/>
          <w:sz w:val="18"/>
          <w:szCs w:val="18"/>
          <w:color w:val="auto"/>
        </w:rPr>
      </w:pPr>
    </w:p>
    <w:p>
      <w:pPr>
        <w:ind w:left="660" w:right="20" w:hanging="328"/>
        <w:spacing w:after="0" w:line="261"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our intent and ability to settle the principal amount of our Notes of $150 million in cash and does not reflect any assumptions about our ability or intent to settle the Notes before their maturity.</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on borrowings is calculated based on the interest rate on the outstanding borrowings as of March 31, 2021.</w:t>
      </w:r>
    </w:p>
    <w:p>
      <w:pPr>
        <w:spacing w:after="0" w:line="238" w:lineRule="exact"/>
        <w:rPr>
          <w:rFonts w:ascii="Arial" w:cs="Arial" w:eastAsia="Arial" w:hAnsi="Arial"/>
          <w:sz w:val="18"/>
          <w:szCs w:val="18"/>
          <w:color w:val="auto"/>
        </w:rPr>
      </w:pPr>
    </w:p>
    <w:p>
      <w:pPr>
        <w:ind w:left="660" w:right="20" w:hanging="328"/>
        <w:spacing w:after="0" w:line="261"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$0.9 million related to uncertain tax positions, since the extent of the amount and timing of payment is currently not reliably estimable or determinable.</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Certain units of our Indian subsidiaries were established as 100% Export-Oriented units under the Software Technology Parks of India or Special Economic Zone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20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operations centers in the Philippines are registered with the Philippine Economic Zone Authority. The registration provides us with certain fiscal incentives on the import of capital goods and local purchase of services and materials and requires that ExlService Philippines, Inc. to meet certain performance and investment criteria. We believe that these centers have in the past satisfied and will continue to satisfy the required criteria.</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For a description of recent accounting pronouncements, see Note 2—“Recent Accounting Pronouncements” to the unaudited consolidated financial statements contained herein.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the three months ended March 31, 2021,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2020.</w:t>
      </w:r>
    </w:p>
    <w:p>
      <w:pPr>
        <w:spacing w:after="0" w:line="200" w:lineRule="exact"/>
        <w:rPr>
          <w:sz w:val="20"/>
          <w:szCs w:val="20"/>
          <w:color w:val="auto"/>
        </w:rPr>
      </w:pPr>
    </w:p>
    <w:p>
      <w:pPr>
        <w:spacing w:after="0" w:line="3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36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its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2021. Based upon that evaluation, the CEO and CFO have concluded that our disclosure controls and procedures, as of March 31, 2021,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2021,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3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24 - Commitments and Contingencies to our unaudited consolidated financial statements contained herein for details.</w:t>
      </w:r>
    </w:p>
    <w:p>
      <w:pPr>
        <w:spacing w:after="0" w:line="200" w:lineRule="exact"/>
        <w:rPr>
          <w:sz w:val="20"/>
          <w:szCs w:val="20"/>
          <w:color w:val="auto"/>
        </w:rPr>
      </w:pPr>
    </w:p>
    <w:p>
      <w:pPr>
        <w:spacing w:after="0" w:line="2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have discussed under the heading “Risk Factors” in our Annual Report on Form 10-K for the fiscal year ended December 31, 2020 (the “2020 Form 10-K”), supplemented by the disclosure below, a number of risks which may materially affect our business, financial condition or results of operations. You should carefully consider these Risk Factors and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constitutes a supplement to the 2020 Form 10-K, Part I, Item 1A “Risk Factors” under “Our business, results of operations and financial condition have been adversely affected, and could in the future be materially adversely affected, by the coronavirus pandemic.”</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late March 2021, a new serious outbreak of COVID-19 virus began affecting India. The outbreak has resulted in an exorbitant spike in the number of COVID patients, which has overwhelmed the healthcare infrastructure in India. The Indian government has reinstated lockdowns limiting in certain cases the movement of our employees to offices. During the same period, the Philippines also began experiencing a spike in the number of COVID patients. Although, at present our Indian and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Philippines operations have not been materially affected and we have initiated appropriate business continuity procedures, it is possible that these new developments could adversely affect our business and results of operations.</w:t>
      </w:r>
    </w:p>
    <w:p>
      <w:pPr>
        <w:spacing w:after="0" w:line="200" w:lineRule="exact"/>
        <w:rPr>
          <w:sz w:val="20"/>
          <w:szCs w:val="20"/>
          <w:color w:val="auto"/>
        </w:rPr>
      </w:pPr>
    </w:p>
    <w:p>
      <w:pPr>
        <w:spacing w:after="0" w:line="3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000" w:type="dxa"/>
            <w:vAlign w:val="bottom"/>
            <w:gridSpan w:val="7"/>
          </w:tcPr>
          <w:p>
            <w:pPr>
              <w:ind w:left="160"/>
              <w:spacing w:after="0"/>
              <w:rPr>
                <w:sz w:val="20"/>
                <w:szCs w:val="20"/>
                <w:color w:val="auto"/>
              </w:rPr>
            </w:pPr>
            <w:r>
              <w:rPr>
                <w:rFonts w:ascii="Arial" w:cs="Arial" w:eastAsia="Arial" w:hAnsi="Arial"/>
                <w:sz w:val="18"/>
                <w:szCs w:val="18"/>
                <w:color w:val="auto"/>
                <w:w w:val="91"/>
              </w:rPr>
              <w:t>During the three months ended March 31, 2021, purchases of common stock were as follows:</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Average Price</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24"/>
                <w:szCs w:val="24"/>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175"/>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8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5"/>
              </w:rPr>
              <w:t>Shares Purchased as</w:t>
            </w:r>
          </w:p>
        </w:tc>
        <w:tc>
          <w:tcPr>
            <w:tcW w:w="17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176"/>
        </w:trPr>
        <w:tc>
          <w:tcPr>
            <w:tcW w:w="4000" w:type="dxa"/>
            <w:vAlign w:val="bottom"/>
            <w:gridSpan w:val="2"/>
            <w:vMerge w:val="continue"/>
          </w:tcPr>
          <w:p>
            <w:pPr>
              <w:spacing w:after="0"/>
              <w:rPr>
                <w:sz w:val="15"/>
                <w:szCs w:val="15"/>
                <w:color w:val="auto"/>
              </w:rPr>
            </w:pPr>
          </w:p>
        </w:tc>
        <w:tc>
          <w:tcPr>
            <w:tcW w:w="16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2"/>
              </w:rPr>
              <w:t>Paid per</w:t>
            </w:r>
          </w:p>
        </w:tc>
        <w:tc>
          <w:tcPr>
            <w:tcW w:w="18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17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95"/>
              </w:rPr>
              <w:t>Purchased</w:t>
            </w:r>
            <w:r>
              <w:rPr>
                <w:rFonts w:ascii="Arial" w:cs="Arial" w:eastAsia="Arial" w:hAnsi="Arial"/>
                <w:sz w:val="20"/>
                <w:szCs w:val="20"/>
                <w:b w:val="1"/>
                <w:bCs w:val="1"/>
                <w:color w:val="auto"/>
                <w:w w:val="95"/>
                <w:vertAlign w:val="superscript"/>
              </w:rPr>
              <w:t>(1)</w:t>
            </w:r>
          </w:p>
        </w:tc>
        <w:tc>
          <w:tcPr>
            <w:tcW w:w="200" w:type="dxa"/>
            <w:vAlign w:val="bottom"/>
          </w:tcPr>
          <w:p>
            <w:pPr>
              <w:spacing w:after="0"/>
              <w:rPr>
                <w:sz w:val="15"/>
                <w:szCs w:val="15"/>
                <w:color w:val="auto"/>
              </w:rPr>
            </w:pPr>
          </w:p>
        </w:tc>
        <w:tc>
          <w:tcPr>
            <w:tcW w:w="1180" w:type="dxa"/>
            <w:vAlign w:val="bottom"/>
            <w:gridSpan w:val="2"/>
          </w:tcPr>
          <w:p>
            <w:pPr>
              <w:jc w:val="center"/>
              <w:ind w:right="300"/>
              <w:spacing w:after="0" w:line="176" w:lineRule="exact"/>
              <w:rPr>
                <w:sz w:val="20"/>
                <w:szCs w:val="20"/>
                <w:color w:val="auto"/>
              </w:rPr>
            </w:pPr>
            <w:r>
              <w:rPr>
                <w:rFonts w:ascii="Arial" w:cs="Arial" w:eastAsia="Arial" w:hAnsi="Arial"/>
                <w:sz w:val="16"/>
                <w:szCs w:val="16"/>
                <w:b w:val="1"/>
                <w:bCs w:val="1"/>
                <w:color w:val="auto"/>
                <w:w w:val="94"/>
              </w:rPr>
              <w:t>share</w:t>
            </w:r>
            <w:r>
              <w:rPr>
                <w:rFonts w:ascii="Arial" w:cs="Arial" w:eastAsia="Arial" w:hAnsi="Arial"/>
                <w:sz w:val="20"/>
                <w:szCs w:val="20"/>
                <w:b w:val="1"/>
                <w:bCs w:val="1"/>
                <w:color w:val="auto"/>
                <w:w w:val="94"/>
                <w:vertAlign w:val="superscript"/>
              </w:rPr>
              <w:t>(1)</w:t>
            </w:r>
          </w:p>
        </w:tc>
        <w:tc>
          <w:tcPr>
            <w:tcW w:w="18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100" w:type="dxa"/>
            <w:vAlign w:val="bottom"/>
          </w:tcPr>
          <w:p>
            <w:pPr>
              <w:spacing w:after="0"/>
              <w:rPr>
                <w:sz w:val="15"/>
                <w:szCs w:val="15"/>
                <w:color w:val="auto"/>
              </w:rPr>
            </w:pPr>
          </w:p>
        </w:tc>
        <w:tc>
          <w:tcPr>
            <w:tcW w:w="168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19"/>
                <w:szCs w:val="19"/>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 1, 2021 through Jan 31, 2021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116,200,368</w:t>
            </w: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Feb 1, 2021 through Feb 28, 2021</w:t>
            </w:r>
          </w:p>
        </w:tc>
        <w:tc>
          <w:tcPr>
            <w:tcW w:w="1520" w:type="dxa"/>
            <w:vAlign w:val="bottom"/>
          </w:tcPr>
          <w:p>
            <w:pPr>
              <w:jc w:val="right"/>
              <w:spacing w:after="0"/>
              <w:rPr>
                <w:sz w:val="20"/>
                <w:szCs w:val="20"/>
                <w:color w:val="auto"/>
              </w:rPr>
            </w:pPr>
            <w:r>
              <w:rPr>
                <w:rFonts w:ascii="Arial" w:cs="Arial" w:eastAsia="Arial" w:hAnsi="Arial"/>
                <w:sz w:val="18"/>
                <w:szCs w:val="18"/>
                <w:color w:val="auto"/>
              </w:rPr>
              <w:t>98,232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73,322</w:t>
            </w:r>
          </w:p>
        </w:tc>
        <w:tc>
          <w:tcPr>
            <w:tcW w:w="1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110,182,102</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 1, 2021 through Mar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169,171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95,182,126</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313,032</w:t>
            </w:r>
          </w:p>
        </w:tc>
        <w:tc>
          <w:tcPr>
            <w:tcW w:w="1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420" w:hanging="7"/>
        <w:spacing w:after="0" w:line="263" w:lineRule="auto"/>
        <w:tabs>
          <w:tab w:leader="none" w:pos="691"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25,450 shares of the Company’s common stock acquired by the Company at the price of $79.18 in connection with satisfaction of tax withholding obligations on vested restricted stock. Price paid per share for the restricted stock was the closing price of common stock on the trading day prior to the vesting date of the restricted stock units.</w:t>
      </w:r>
    </w:p>
    <w:p>
      <w:pPr>
        <w:spacing w:after="0" w:line="319"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On December 16, 2019, the Company’s Board of Directors authorized a $200 million common stock repurchase program beginning January 1, 2020 through December 31, 2022 (the “2019 Repurchase Program”). Under the Repurchase Program, shares may be purchased by the Company from time to time from the open market and through private transactions, or otherwise, as determined by the Company’s management as market conditions warrant.</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00" w:type="dxa"/>
            <w:vAlign w:val="bottom"/>
            <w:gridSpan w:val="22"/>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59"/>
        </w:trPr>
        <w:tc>
          <w:tcPr>
            <w:tcW w:w="9780" w:type="dxa"/>
            <w:vAlign w:val="bottom"/>
            <w:gridSpan w:val="23"/>
          </w:tcPr>
          <w:p>
            <w:pPr>
              <w:spacing w:after="0"/>
              <w:rPr>
                <w:sz w:val="20"/>
                <w:szCs w:val="20"/>
                <w:color w:val="auto"/>
              </w:rPr>
            </w:pPr>
            <w:r>
              <w:rPr>
                <w:rFonts w:ascii="Arial" w:cs="Arial" w:eastAsia="Arial" w:hAnsi="Arial"/>
                <w:sz w:val="18"/>
                <w:szCs w:val="18"/>
                <w:color w:val="auto"/>
              </w:rPr>
              <w:t>The following exhibits are being filed as part of this Quarterly Report on Form 10-Q:</w:t>
            </w:r>
          </w:p>
        </w:tc>
      </w:tr>
      <w:tr>
        <w:trPr>
          <w:trHeight w:val="364"/>
        </w:trPr>
        <w:tc>
          <w:tcPr>
            <w:tcW w:w="780" w:type="dxa"/>
            <w:vAlign w:val="bottom"/>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8340" w:type="dxa"/>
            <w:vAlign w:val="bottom"/>
            <w:tcBorders>
              <w:bottom w:val="single" w:sz="8" w:color="0000FF"/>
            </w:tcBorders>
            <w:gridSpan w:val="12"/>
          </w:tcPr>
          <w:p>
            <w:pPr>
              <w:spacing w:after="0"/>
              <w:rPr>
                <w:rFonts w:ascii="Arial" w:cs="Arial" w:eastAsia="Arial" w:hAnsi="Arial"/>
                <w:sz w:val="18"/>
                <w:szCs w:val="18"/>
                <w:color w:val="0000FF"/>
                <w:w w:val="90"/>
              </w:rPr>
            </w:pPr>
            <w:hyperlink r:id="rId91">
              <w:r>
                <w:rPr>
                  <w:rFonts w:ascii="Arial" w:cs="Arial" w:eastAsia="Arial" w:hAnsi="Arial"/>
                  <w:sz w:val="18"/>
                  <w:szCs w:val="18"/>
                  <w:color w:val="0000FF"/>
                  <w:w w:val="90"/>
                </w:rPr>
                <w:t>Amended and Restated Certificate of Incorporation of the Company, as in effect on the date hereof (incorporated by</w:t>
              </w:r>
            </w:hyperlink>
          </w:p>
        </w:tc>
        <w:tc>
          <w:tcPr>
            <w:tcW w:w="480" w:type="dxa"/>
            <w:vAlign w:val="bottom"/>
            <w:gridSpan w:val="9"/>
          </w:tcPr>
          <w:p>
            <w:pPr>
              <w:spacing w:after="0"/>
              <w:rPr>
                <w:sz w:val="24"/>
                <w:szCs w:val="24"/>
                <w:color w:val="auto"/>
              </w:rPr>
            </w:pPr>
          </w:p>
        </w:tc>
      </w:tr>
      <w:tr>
        <w:trPr>
          <w:trHeight w:val="156"/>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540" w:type="dxa"/>
            <w:vAlign w:val="bottom"/>
            <w:tcBorders>
              <w:bottom w:val="single" w:sz="8" w:color="0000FF"/>
            </w:tcBorders>
            <w:gridSpan w:val="14"/>
          </w:tcPr>
          <w:p>
            <w:pPr>
              <w:spacing w:after="0" w:line="15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reference to Exhibit 3.1 of the Company’s Current Report on Form 8-K (File No. 1-33089) filed on October 25, 2006).</w:t>
              </w:r>
            </w:hyperlink>
          </w:p>
        </w:tc>
        <w:tc>
          <w:tcPr>
            <w:tcW w:w="280" w:type="dxa"/>
            <w:vAlign w:val="bottom"/>
            <w:gridSpan w:val="7"/>
          </w:tcPr>
          <w:p>
            <w:pPr>
              <w:spacing w:after="0"/>
              <w:rPr>
                <w:sz w:val="13"/>
                <w:szCs w:val="13"/>
                <w:color w:val="auto"/>
              </w:rPr>
            </w:pPr>
          </w:p>
        </w:tc>
      </w:tr>
      <w:tr>
        <w:trPr>
          <w:trHeight w:val="304"/>
        </w:trPr>
        <w:tc>
          <w:tcPr>
            <w:tcW w:w="780" w:type="dxa"/>
            <w:vAlign w:val="bottom"/>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FF"/>
                <w:w w:val="97"/>
              </w:rPr>
            </w:pPr>
            <w:hyperlink r:id="rId92">
              <w:r>
                <w:rPr>
                  <w:rFonts w:ascii="Arial" w:cs="Arial" w:eastAsia="Arial" w:hAnsi="Arial"/>
                  <w:sz w:val="18"/>
                  <w:szCs w:val="18"/>
                  <w:color w:val="0000FF"/>
                  <w:w w:val="97"/>
                </w:rPr>
                <w:t>Certificate of Amendment to Amended and Restated Certificate of Incorporation of the Company (incorporated by</w:t>
              </w:r>
            </w:hyperlink>
          </w:p>
        </w:tc>
      </w:tr>
      <w:tr>
        <w:trPr>
          <w:trHeight w:val="156"/>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6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92">
              <w:r>
                <w:rPr>
                  <w:rFonts w:ascii="Arial" w:cs="Arial" w:eastAsia="Arial" w:hAnsi="Arial"/>
                  <w:sz w:val="18"/>
                  <w:szCs w:val="18"/>
                  <w:color w:val="0000FF"/>
                  <w:w w:val="92"/>
                </w:rPr>
                <w:t>reference to Annex A to the Company’s Definitive Proxy Statement on Schedule 14A (File No. 1-33089) filed on</w:t>
              </w:r>
            </w:hyperlink>
          </w:p>
        </w:tc>
        <w:tc>
          <w:tcPr>
            <w:tcW w:w="560" w:type="dxa"/>
            <w:vAlign w:val="bottom"/>
            <w:gridSpan w:val="11"/>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April</w:t>
              </w:r>
            </w:hyperlink>
          </w:p>
        </w:tc>
      </w:tr>
      <w:tr>
        <w:trPr>
          <w:trHeight w:val="156"/>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92">
              <w:r>
                <w:rPr>
                  <w:rFonts w:ascii="Arial" w:cs="Arial" w:eastAsia="Arial" w:hAnsi="Arial"/>
                  <w:sz w:val="18"/>
                  <w:szCs w:val="18"/>
                  <w:color w:val="0000FF"/>
                  <w:w w:val="88"/>
                </w:rPr>
                <w:t>26, 2019).</w:t>
              </w:r>
            </w:hyperlink>
          </w:p>
        </w:tc>
        <w:tc>
          <w:tcPr>
            <w:tcW w:w="340" w:type="dxa"/>
            <w:vAlign w:val="bottom"/>
            <w:tcBorders>
              <w:top w:val="single" w:sz="8" w:color="0000FF"/>
            </w:tcBorders>
          </w:tcPr>
          <w:p>
            <w:pPr>
              <w:spacing w:after="0"/>
              <w:rPr>
                <w:sz w:val="13"/>
                <w:szCs w:val="13"/>
                <w:color w:val="auto"/>
              </w:rPr>
            </w:pPr>
          </w:p>
        </w:tc>
        <w:tc>
          <w:tcPr>
            <w:tcW w:w="3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780" w:type="dxa"/>
            <w:vAlign w:val="bottom"/>
          </w:tcPr>
          <w:p>
            <w:pPr>
              <w:ind w:left="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2"/>
                <w:szCs w:val="22"/>
                <w:color w:val="auto"/>
              </w:rPr>
            </w:pPr>
          </w:p>
        </w:tc>
        <w:tc>
          <w:tcPr>
            <w:tcW w:w="8820" w:type="dxa"/>
            <w:vAlign w:val="bottom"/>
            <w:gridSpan w:val="21"/>
          </w:tcPr>
          <w:p>
            <w:pPr>
              <w:spacing w:after="0"/>
              <w:rPr>
                <w:rFonts w:ascii="Arial" w:cs="Arial" w:eastAsia="Arial" w:hAnsi="Arial"/>
                <w:sz w:val="18"/>
                <w:szCs w:val="18"/>
                <w:color w:val="0000FF"/>
                <w:w w:val="98"/>
              </w:rPr>
            </w:pPr>
            <w:hyperlink r:id="rId93">
              <w:r>
                <w:rPr>
                  <w:rFonts w:ascii="Arial" w:cs="Arial" w:eastAsia="Arial" w:hAnsi="Arial"/>
                  <w:sz w:val="18"/>
                  <w:szCs w:val="18"/>
                  <w:color w:val="0000FF"/>
                  <w:w w:val="98"/>
                </w:rPr>
                <w:t>Fifth Amended and Restated By-laws of ExlService Holdings, Inc. (incorporated by reference to Exhibit 3.2 of the</w:t>
              </w:r>
            </w:hyperlink>
          </w:p>
        </w:tc>
      </w:tr>
      <w:tr>
        <w:trPr>
          <w:trHeight w:val="155"/>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Company’s Current Report on Form 8-K (File No. 1-33089) filed on June 19, 2019)</w:t>
              </w:r>
            </w:hyperlink>
          </w:p>
        </w:tc>
        <w:tc>
          <w:tcPr>
            <w:tcW w:w="2200" w:type="dxa"/>
            <w:vAlign w:val="bottom"/>
            <w:tcBorders>
              <w:top w:val="single" w:sz="8" w:color="0000FF"/>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78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8820" w:type="dxa"/>
            <w:vAlign w:val="bottom"/>
            <w:tcBorders>
              <w:bottom w:val="single" w:sz="8" w:color="0000FF"/>
            </w:tcBorders>
            <w:gridSpan w:val="21"/>
          </w:tcPr>
          <w:p>
            <w:pPr>
              <w:spacing w:after="0"/>
              <w:rPr>
                <w:rFonts w:ascii="Arial" w:cs="Arial" w:eastAsia="Arial" w:hAnsi="Arial"/>
                <w:sz w:val="18"/>
                <w:szCs w:val="18"/>
                <w:color w:val="0000FF"/>
                <w:w w:val="90"/>
              </w:rPr>
            </w:pPr>
            <w:hyperlink r:id="rId94">
              <w:r>
                <w:rPr>
                  <w:rFonts w:ascii="Arial" w:cs="Arial" w:eastAsia="Arial" w:hAnsi="Arial"/>
                  <w:sz w:val="18"/>
                  <w:szCs w:val="18"/>
                  <w:color w:val="0000FF"/>
                  <w:w w:val="90"/>
                </w:rPr>
                <w:t>Third Amendment to Credit Agreement, dated as of April 16, 2021, by and among the Company and the other loan parties</w:t>
              </w:r>
            </w:hyperlink>
          </w:p>
        </w:tc>
      </w:tr>
      <w:tr>
        <w:trPr>
          <w:trHeight w:val="156"/>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20" w:type="dxa"/>
            <w:vAlign w:val="bottom"/>
            <w:gridSpan w:val="21"/>
          </w:tcPr>
          <w:p>
            <w:pPr>
              <w:spacing w:after="0" w:line="15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thereto, the lenders party thereto, and Citibank, N.A., as administrative agent (incorporated by reference to Exhibit 10.1 of</w:t>
              </w:r>
            </w:hyperlink>
          </w:p>
        </w:tc>
      </w:tr>
      <w:tr>
        <w:trPr>
          <w:trHeight w:val="155"/>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the Company’s Current Report on Form 8-K (File No. 1-33089) filed on April 19, 2021).</w:t>
              </w:r>
            </w:hyperlink>
          </w:p>
        </w:tc>
        <w:tc>
          <w:tcPr>
            <w:tcW w:w="24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780" w:type="dxa"/>
            <w:vAlign w:val="bottom"/>
          </w:tcPr>
          <w:p>
            <w:pPr>
              <w:ind w:lef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FF"/>
                <w:w w:val="96"/>
              </w:rPr>
            </w:pPr>
            <w:hyperlink w:anchor="page54">
              <w:r>
                <w:rPr>
                  <w:rFonts w:ascii="Arial" w:cs="Arial" w:eastAsia="Arial" w:hAnsi="Arial"/>
                  <w:sz w:val="18"/>
                  <w:szCs w:val="18"/>
                  <w:color w:val="0000FF"/>
                  <w:w w:val="96"/>
                </w:rPr>
                <w:t>Form of Restricted Stock Unit Agreement (applicable to U.S. Executive Officers) under the 2018 Omnibus Incentive</w:t>
              </w:r>
            </w:hyperlink>
          </w:p>
        </w:tc>
      </w:tr>
      <w:tr>
        <w:trPr>
          <w:trHeight w:val="156"/>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54">
              <w:r>
                <w:rPr>
                  <w:rFonts w:ascii="Arial" w:cs="Arial" w:eastAsia="Arial" w:hAnsi="Arial"/>
                  <w:sz w:val="18"/>
                  <w:szCs w:val="18"/>
                  <w:color w:val="0000FF"/>
                </w:rPr>
                <w:t>Plan.</w:t>
              </w:r>
            </w:hyperlink>
          </w:p>
        </w:tc>
        <w:tc>
          <w:tcPr>
            <w:tcW w:w="1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780" w:type="dxa"/>
            <w:vAlign w:val="bottom"/>
          </w:tcPr>
          <w:p>
            <w:pPr>
              <w:ind w:left="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FF"/>
                <w:w w:val="97"/>
              </w:rPr>
            </w:pPr>
            <w:hyperlink w:anchor="page66">
              <w:r>
                <w:rPr>
                  <w:rFonts w:ascii="Arial" w:cs="Arial" w:eastAsia="Arial" w:hAnsi="Arial"/>
                  <w:sz w:val="18"/>
                  <w:szCs w:val="18"/>
                  <w:color w:val="0000FF"/>
                  <w:w w:val="97"/>
                </w:rPr>
                <w:t>Form of Restricted Stock Unit Agreement (applicable to International Executive Officers) under the 2018 Omnibus</w:t>
              </w:r>
            </w:hyperlink>
          </w:p>
        </w:tc>
      </w:tr>
      <w:tr>
        <w:trPr>
          <w:trHeight w:val="156"/>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Incentive Plan.</w:t>
              </w:r>
            </w:hyperlink>
          </w:p>
        </w:tc>
        <w:tc>
          <w:tcPr>
            <w:tcW w:w="7220" w:type="dxa"/>
            <w:vAlign w:val="bottom"/>
            <w:tcBorders>
              <w:top w:val="single" w:sz="8" w:color="0000FF"/>
            </w:tcBorders>
            <w:gridSpan w:val="8"/>
          </w:tcPr>
          <w:p>
            <w:pPr>
              <w:spacing w:after="0"/>
              <w:rPr>
                <w:sz w:val="13"/>
                <w:szCs w:val="13"/>
                <w:color w:val="auto"/>
              </w:rPr>
            </w:pPr>
          </w:p>
        </w:tc>
        <w:tc>
          <w:tcPr>
            <w:tcW w:w="30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7"/>
        </w:trPr>
        <w:tc>
          <w:tcPr>
            <w:tcW w:w="78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Form of Restricted Stock Unit Agreement (Directors) under the 2018 Omnibus Incentive Plan.</w:t>
              </w:r>
            </w:hyperlink>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78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FF"/>
                <w:w w:val="93"/>
              </w:rPr>
            </w:pPr>
            <w:hyperlink w:anchor="page84">
              <w:r>
                <w:rPr>
                  <w:rFonts w:ascii="Arial" w:cs="Arial" w:eastAsia="Arial" w:hAnsi="Arial"/>
                  <w:sz w:val="18"/>
                  <w:szCs w:val="18"/>
                  <w:color w:val="0000FF"/>
                  <w:w w:val="93"/>
                </w:rPr>
                <w:t>Certification of the Chief Executive Officer of ExlService Holdings, pursuant to Rule 13a-14(a) of the Exchange Act, as</w:t>
              </w:r>
            </w:hyperlink>
          </w:p>
        </w:tc>
      </w:tr>
      <w:tr>
        <w:trPr>
          <w:trHeight w:val="156"/>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adopted pursuant to Section 302 of the Sarbanes-Oxley Act of 2002.</w:t>
              </w:r>
            </w:hyperlink>
          </w:p>
        </w:tc>
        <w:tc>
          <w:tcPr>
            <w:tcW w:w="37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63"/>
        </w:trPr>
        <w:tc>
          <w:tcPr>
            <w:tcW w:w="78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2"/>
                <w:szCs w:val="22"/>
                <w:color w:val="auto"/>
              </w:rPr>
            </w:pPr>
          </w:p>
        </w:tc>
        <w:tc>
          <w:tcPr>
            <w:tcW w:w="8820" w:type="dxa"/>
            <w:vAlign w:val="bottom"/>
            <w:gridSpan w:val="21"/>
          </w:tcPr>
          <w:p>
            <w:pPr>
              <w:spacing w:after="0"/>
              <w:rPr>
                <w:rFonts w:ascii="Arial" w:cs="Arial" w:eastAsia="Arial" w:hAnsi="Arial"/>
                <w:sz w:val="18"/>
                <w:szCs w:val="18"/>
                <w:color w:val="0000FF"/>
                <w:w w:val="94"/>
              </w:rPr>
            </w:pPr>
            <w:hyperlink w:anchor="page85">
              <w:r>
                <w:rPr>
                  <w:rFonts w:ascii="Arial" w:cs="Arial" w:eastAsia="Arial" w:hAnsi="Arial"/>
                  <w:sz w:val="18"/>
                  <w:szCs w:val="18"/>
                  <w:color w:val="0000FF"/>
                  <w:w w:val="94"/>
                </w:rPr>
                <w:t>Certification of the Chief Financial Officer of ExlService Holdings, pursuant to Rule 13a-14(a) of the Exchange Act, as</w:t>
              </w:r>
            </w:hyperlink>
          </w:p>
        </w:tc>
      </w:tr>
      <w:tr>
        <w:trPr>
          <w:trHeight w:val="156"/>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adopted pursuant to Section 302 of the Sarbanes-Oxley Act of 2002.</w:t>
              </w:r>
            </w:hyperlink>
          </w:p>
        </w:tc>
        <w:tc>
          <w:tcPr>
            <w:tcW w:w="3680" w:type="dxa"/>
            <w:vAlign w:val="bottom"/>
            <w:tcBorders>
              <w:top w:val="single" w:sz="8" w:color="0000FF"/>
            </w:tcBorders>
            <w:gridSpan w:val="1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63"/>
        </w:trPr>
        <w:tc>
          <w:tcPr>
            <w:tcW w:w="78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2"/>
                <w:szCs w:val="22"/>
                <w:color w:val="auto"/>
              </w:rPr>
            </w:pPr>
          </w:p>
        </w:tc>
        <w:tc>
          <w:tcPr>
            <w:tcW w:w="8820" w:type="dxa"/>
            <w:vAlign w:val="bottom"/>
            <w:gridSpan w:val="21"/>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Certification of the Chief Executive Officer pursuant to Rule 13a-14(b) of the Exchange Act and 18 U.S.C. Section 1350,</w:t>
              </w:r>
            </w:hyperlink>
          </w:p>
        </w:tc>
      </w:tr>
      <w:tr>
        <w:trPr>
          <w:trHeight w:val="155"/>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as adopted pursuant to Section 906 of the Sarbanes-Oxley Act of 2002.</w:t>
              </w:r>
            </w:hyperlink>
          </w:p>
        </w:tc>
        <w:tc>
          <w:tcPr>
            <w:tcW w:w="3620" w:type="dxa"/>
            <w:vAlign w:val="bottom"/>
            <w:tcBorders>
              <w:top w:val="single" w:sz="8" w:color="0000FF"/>
            </w:tcBorders>
            <w:gridSpan w:val="14"/>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63"/>
        </w:trPr>
        <w:tc>
          <w:tcPr>
            <w:tcW w:w="780" w:type="dxa"/>
            <w:vAlign w:val="bottom"/>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2"/>
                <w:szCs w:val="22"/>
                <w:color w:val="auto"/>
              </w:rPr>
            </w:pPr>
          </w:p>
        </w:tc>
        <w:tc>
          <w:tcPr>
            <w:tcW w:w="8820" w:type="dxa"/>
            <w:vAlign w:val="bottom"/>
            <w:gridSpan w:val="21"/>
          </w:tcPr>
          <w:p>
            <w:pPr>
              <w:spacing w:after="0"/>
              <w:rPr>
                <w:rFonts w:ascii="Arial" w:cs="Arial" w:eastAsia="Arial" w:hAnsi="Arial"/>
                <w:sz w:val="18"/>
                <w:szCs w:val="18"/>
                <w:color w:val="0000FF"/>
                <w:w w:val="92"/>
              </w:rPr>
            </w:pPr>
            <w:hyperlink w:anchor="page87">
              <w:r>
                <w:rPr>
                  <w:rFonts w:ascii="Arial" w:cs="Arial" w:eastAsia="Arial" w:hAnsi="Arial"/>
                  <w:sz w:val="18"/>
                  <w:szCs w:val="18"/>
                  <w:color w:val="0000FF"/>
                  <w:w w:val="92"/>
                </w:rPr>
                <w:t>Certification of the Chief Financial Officer pursuant to Rule 13a-14(b) of the Exchange Act and 18 U.S.C. Section 1350,</w:t>
              </w:r>
            </w:hyperlink>
          </w:p>
        </w:tc>
      </w:tr>
      <w:tr>
        <w:trPr>
          <w:trHeight w:val="156"/>
        </w:trPr>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as adopted pursuant to Section 906 of the Sarbanes-Oxley Act of 2002.</w:t>
              </w:r>
            </w:hyperlink>
          </w:p>
        </w:tc>
        <w:tc>
          <w:tcPr>
            <w:tcW w:w="3560" w:type="dxa"/>
            <w:vAlign w:val="bottom"/>
            <w:tcBorders>
              <w:top w:val="single" w:sz="8" w:color="0000FF"/>
            </w:tcBorders>
            <w:gridSpan w:val="13"/>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304"/>
        </w:trPr>
        <w:tc>
          <w:tcPr>
            <w:tcW w:w="780" w:type="dxa"/>
            <w:vAlign w:val="bottom"/>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882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r>
      <w:tr>
        <w:trPr>
          <w:trHeight w:val="283"/>
        </w:trPr>
        <w:tc>
          <w:tcPr>
            <w:tcW w:w="78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4"/>
                <w:szCs w:val="24"/>
                <w:color w:val="auto"/>
              </w:rPr>
            </w:pPr>
          </w:p>
        </w:tc>
        <w:tc>
          <w:tcPr>
            <w:tcW w:w="8820" w:type="dxa"/>
            <w:vAlign w:val="bottom"/>
            <w:gridSpan w:val="21"/>
          </w:tcPr>
          <w:p>
            <w:pPr>
              <w:spacing w:after="0"/>
              <w:rPr>
                <w:sz w:val="20"/>
                <w:szCs w:val="20"/>
                <w:color w:val="auto"/>
              </w:rPr>
            </w:pPr>
            <w:r>
              <w:rPr>
                <w:rFonts w:ascii="Arial" w:cs="Arial" w:eastAsia="Arial" w:hAnsi="Arial"/>
                <w:sz w:val="18"/>
                <w:szCs w:val="18"/>
                <w:color w:val="auto"/>
              </w:rPr>
              <w:t>XBRL Taxonomy Extension Scheme</w:t>
            </w:r>
          </w:p>
        </w:tc>
      </w:tr>
      <w:tr>
        <w:trPr>
          <w:trHeight w:val="283"/>
        </w:trPr>
        <w:tc>
          <w:tcPr>
            <w:tcW w:w="780" w:type="dxa"/>
            <w:vAlign w:val="bottom"/>
          </w:tcPr>
          <w:p>
            <w:pPr>
              <w:ind w:left="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882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84"/>
        </w:trPr>
        <w:tc>
          <w:tcPr>
            <w:tcW w:w="780" w:type="dxa"/>
            <w:vAlign w:val="bottom"/>
          </w:tcPr>
          <w:p>
            <w:pPr>
              <w:ind w:left="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882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83"/>
        </w:trPr>
        <w:tc>
          <w:tcPr>
            <w:tcW w:w="780" w:type="dxa"/>
            <w:vAlign w:val="bottom"/>
          </w:tcPr>
          <w:p>
            <w:pPr>
              <w:ind w:left="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882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w:t>
            </w:r>
          </w:p>
        </w:tc>
      </w:tr>
      <w:tr>
        <w:trPr>
          <w:trHeight w:val="283"/>
        </w:trPr>
        <w:tc>
          <w:tcPr>
            <w:tcW w:w="78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4"/>
                <w:szCs w:val="24"/>
                <w:color w:val="auto"/>
              </w:rPr>
            </w:pPr>
          </w:p>
        </w:tc>
        <w:tc>
          <w:tcPr>
            <w:tcW w:w="8820" w:type="dxa"/>
            <w:vAlign w:val="bottom"/>
            <w:gridSpan w:val="21"/>
          </w:tcPr>
          <w:p>
            <w:pPr>
              <w:spacing w:after="0"/>
              <w:rPr>
                <w:sz w:val="20"/>
                <w:szCs w:val="20"/>
                <w:color w:val="auto"/>
              </w:rPr>
            </w:pPr>
            <w:r>
              <w:rPr>
                <w:rFonts w:ascii="Arial" w:cs="Arial" w:eastAsia="Arial" w:hAnsi="Arial"/>
                <w:sz w:val="18"/>
                <w:szCs w:val="18"/>
                <w:color w:val="auto"/>
              </w:rPr>
              <w:t>XBRL Extension Presentation Linkbase</w:t>
            </w:r>
          </w:p>
        </w:tc>
      </w:tr>
    </w:tbl>
    <w:p>
      <w:pPr>
        <w:spacing w:after="0" w:line="53" w:lineRule="exact"/>
        <w:rPr>
          <w:sz w:val="20"/>
          <w:szCs w:val="20"/>
          <w:color w:val="auto"/>
        </w:rPr>
      </w:pPr>
    </w:p>
    <w:p>
      <w:pPr>
        <w:ind w:left="960" w:hanging="93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-713105</wp:posOffset>
            </wp:positionV>
            <wp:extent cx="5314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Arial" w:cs="Arial" w:eastAsia="Arial" w:hAnsi="Arial"/>
                <w:sz w:val="18"/>
                <w:szCs w:val="18"/>
                <w:color w:val="auto"/>
              </w:rPr>
              <w:t>Date: April 29, 2021</w:t>
            </w:r>
          </w:p>
        </w:tc>
        <w:tc>
          <w:tcPr>
            <w:tcW w:w="8000" w:type="dxa"/>
            <w:vAlign w:val="bottom"/>
            <w:gridSpan w:val="2"/>
          </w:tcPr>
          <w:p>
            <w:pPr>
              <w:ind w:left="1700"/>
              <w:spacing w:after="0"/>
              <w:rPr>
                <w:sz w:val="20"/>
                <w:szCs w:val="20"/>
                <w:color w:val="auto"/>
              </w:rPr>
            </w:pPr>
            <w:r>
              <w:rPr>
                <w:rFonts w:ascii="Arial" w:cs="Arial" w:eastAsia="Arial" w:hAnsi="Arial"/>
                <w:sz w:val="18"/>
                <w:szCs w:val="18"/>
                <w:b w:val="1"/>
                <w:bCs w:val="1"/>
                <w:color w:val="auto"/>
              </w:rPr>
              <w:t>EXLSERVICE HOLDINGS, INC.</w:t>
            </w:r>
          </w:p>
        </w:tc>
      </w:tr>
      <w:tr>
        <w:trPr>
          <w:trHeight w:val="499"/>
        </w:trPr>
        <w:tc>
          <w:tcPr>
            <w:tcW w:w="3200" w:type="dxa"/>
            <w:vAlign w:val="bottom"/>
          </w:tcPr>
          <w:p>
            <w:pPr>
              <w:spacing w:after="0"/>
              <w:rPr>
                <w:sz w:val="24"/>
                <w:szCs w:val="24"/>
                <w:color w:val="auto"/>
              </w:rPr>
            </w:pPr>
          </w:p>
        </w:tc>
        <w:tc>
          <w:tcPr>
            <w:tcW w:w="2300" w:type="dxa"/>
            <w:vAlign w:val="bottom"/>
          </w:tcPr>
          <w:p>
            <w:pPr>
              <w:ind w:left="170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w:t>
            </w:r>
            <w:r>
              <w:rPr>
                <w:rFonts w:ascii="Arial" w:cs="Arial" w:eastAsia="Arial" w:hAnsi="Arial"/>
                <w:sz w:val="14"/>
                <w:szCs w:val="14"/>
                <w:color w:val="auto"/>
              </w:rPr>
              <w:t>MAURIZIO NICOLELLI</w:t>
            </w:r>
          </w:p>
        </w:tc>
      </w:tr>
      <w:tr>
        <w:trPr>
          <w:trHeight w:val="129"/>
        </w:trPr>
        <w:tc>
          <w:tcPr>
            <w:tcW w:w="32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7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MAURIZIO NICOLELLI</w:t>
            </w:r>
          </w:p>
        </w:tc>
      </w:tr>
      <w:tr>
        <w:trPr>
          <w:trHeight w:val="135"/>
        </w:trPr>
        <w:tc>
          <w:tcPr>
            <w:tcW w:w="32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70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2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364" w:right="359" w:bottom="1440" w:gutter="0" w:footer="0" w:header="0"/>
        </w:sectPr>
      </w:pPr>
    </w:p>
    <w:bookmarkStart w:id="53" w:name="page54"/>
    <w:bookmarkEnd w:id="53"/>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RESTRICTED STOCK UNIT AGREEMENT (U.S.)</w:t>
      </w:r>
    </w:p>
    <w:p>
      <w:pPr>
        <w:spacing w:after="0" w:line="229"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THIS RESTRICTED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effective as of the [__] day of [___] (hereinafter the “</w:t>
      </w:r>
      <w:r>
        <w:rPr>
          <w:rFonts w:ascii="Arial" w:cs="Arial" w:eastAsia="Arial" w:hAnsi="Arial"/>
          <w:sz w:val="18"/>
          <w:szCs w:val="18"/>
          <w:u w:val="single" w:color="auto"/>
          <w:color w:val="auto"/>
        </w:rPr>
        <w:t>Date of Grant</w:t>
      </w:r>
      <w:r>
        <w:rPr>
          <w:rFonts w:ascii="Arial" w:cs="Arial" w:eastAsia="Arial" w:hAnsi="Arial"/>
          <w:sz w:val="18"/>
          <w:szCs w:val="18"/>
          <w:color w:val="auto"/>
        </w:rPr>
        <w:t>”) by and between ExlService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_______#ParticipantName#____________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adopted the ExlService Holdings, Inc. 2018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 and</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has determined that it is in the best interests of the Company and its stockholders to grant to the Participant an award of Restricted Stock Units as provided herein and subject to the terms set forth herein.</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4" w:lineRule="exact"/>
        <w:rPr>
          <w:sz w:val="20"/>
          <w:szCs w:val="20"/>
          <w:color w:val="auto"/>
        </w:rPr>
      </w:pPr>
    </w:p>
    <w:p>
      <w:pPr>
        <w:jc w:val="both"/>
        <w:ind w:firstLine="1304"/>
        <w:spacing w:after="0" w:line="257" w:lineRule="auto"/>
        <w:tabs>
          <w:tab w:leader="none" w:pos="194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Company hereby grants on the Date of Grant, to the Participant a total of [●] Restricted Stock Units (the “</w:t>
      </w:r>
      <w:r>
        <w:rPr>
          <w:rFonts w:ascii="Arial" w:cs="Arial" w:eastAsia="Arial" w:hAnsi="Arial"/>
          <w:sz w:val="18"/>
          <w:szCs w:val="18"/>
          <w:u w:val="single" w:color="auto"/>
          <w:color w:val="auto"/>
        </w:rPr>
        <w:t>Award</w:t>
      </w:r>
      <w:r>
        <w:rPr>
          <w:rFonts w:ascii="Arial" w:cs="Arial" w:eastAsia="Arial" w:hAnsi="Arial"/>
          <w:sz w:val="18"/>
          <w:szCs w:val="18"/>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18"/>
          <w:szCs w:val="18"/>
          <w:u w:val="single" w:color="auto"/>
          <w:color w:val="auto"/>
        </w:rPr>
        <w:t>Account</w:t>
      </w:r>
      <w:r>
        <w:rPr>
          <w:rFonts w:ascii="Arial" w:cs="Arial" w:eastAsia="Arial" w:hAnsi="Arial"/>
          <w:sz w:val="18"/>
          <w:szCs w:val="18"/>
          <w:color w:val="auto"/>
        </w:rPr>
        <w:t>”). On any given date, the value of each Restricted Stock Unit comprising the Award shall equal the Fair Market Value of one share of Common Stock. The Award shall vest in accordance with Section 3 hereof and settle in accordance with Section 4 hereof.</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94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182" w:lineRule="exact"/>
        <w:rPr>
          <w:rFonts w:ascii="Arial" w:cs="Arial" w:eastAsia="Arial" w:hAnsi="Arial"/>
          <w:sz w:val="18"/>
          <w:szCs w:val="18"/>
          <w:color w:val="auto"/>
        </w:rPr>
      </w:pPr>
    </w:p>
    <w:p>
      <w:pPr>
        <w:jc w:val="both"/>
        <w:ind w:firstLine="1304"/>
        <w:spacing w:after="0" w:line="239" w:lineRule="auto"/>
        <w:tabs>
          <w:tab w:leader="none" w:pos="194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Except as otherwise provided herein, fifty percent (50%) of the Award shall vest based on continued employment with the Company (or its Affiliates) (the “</w:t>
      </w:r>
      <w:r>
        <w:rPr>
          <w:rFonts w:ascii="Arial" w:cs="Arial" w:eastAsia="Arial" w:hAnsi="Arial"/>
          <w:sz w:val="18"/>
          <w:szCs w:val="18"/>
          <w:u w:val="single" w:color="auto"/>
          <w:color w:val="auto"/>
        </w:rPr>
        <w:t>Time-Based RSUs</w:t>
      </w:r>
      <w:r>
        <w:rPr>
          <w:rFonts w:ascii="Arial" w:cs="Arial" w:eastAsia="Arial" w:hAnsi="Arial"/>
          <w:sz w:val="18"/>
          <w:szCs w:val="18"/>
          <w:color w:val="auto"/>
        </w:rPr>
        <w:t>”) and fifty percent (50%) of the Award shall vest based on continued employment with the Company and the achievement of specified performance criteria described herein (the “</w:t>
      </w:r>
      <w:r>
        <w:rPr>
          <w:rFonts w:ascii="Arial" w:cs="Arial" w:eastAsia="Arial" w:hAnsi="Arial"/>
          <w:sz w:val="18"/>
          <w:szCs w:val="18"/>
          <w:u w:val="single" w:color="auto"/>
          <w:color w:val="auto"/>
        </w:rPr>
        <w:t>Performance-Based RSUs</w:t>
      </w:r>
      <w:r>
        <w:rPr>
          <w:rFonts w:ascii="Arial" w:cs="Arial" w:eastAsia="Arial" w:hAnsi="Arial"/>
          <w:sz w:val="18"/>
          <w:szCs w:val="18"/>
          <w:color w:val="auto"/>
        </w:rPr>
        <w:t>”). Each day on which a portion of the Award vests in accordance with this Agreement is referred to as a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pacing w:after="0" w:line="311" w:lineRule="exact"/>
        <w:rPr>
          <w:rFonts w:ascii="Arial" w:cs="Arial" w:eastAsia="Arial" w:hAnsi="Arial"/>
          <w:sz w:val="18"/>
          <w:szCs w:val="18"/>
          <w:color w:val="auto"/>
        </w:rPr>
      </w:pPr>
    </w:p>
    <w:p>
      <w:pPr>
        <w:jc w:val="both"/>
        <w:ind w:left="420" w:right="20" w:hanging="331"/>
        <w:spacing w:after="0" w:line="263" w:lineRule="auto"/>
        <w:tabs>
          <w:tab w:leader="none" w:pos="420" w:val="left"/>
        </w:tabs>
        <w:numPr>
          <w:ilvl w:val="0"/>
          <w:numId w:val="17"/>
        </w:numPr>
        <w:rPr>
          <w:rFonts w:ascii="Arial" w:cs="Arial" w:eastAsia="Arial" w:hAnsi="Arial"/>
          <w:sz w:val="14"/>
          <w:szCs w:val="14"/>
          <w:color w:val="auto"/>
        </w:rPr>
      </w:pPr>
      <w:r>
        <w:rPr>
          <w:rFonts w:ascii="Arial" w:cs="Arial" w:eastAsia="Arial" w:hAnsi="Arial"/>
          <w:sz w:val="18"/>
          <w:szCs w:val="18"/>
          <w:color w:val="auto"/>
        </w:rPr>
        <w:t>Agreement for CEO (Rohit Kapoor) should be amended to conform to CEO Agreement and add clause “To the extent any provisions of this Section 3 conflict with the terms of the Second Amended and Restated Employment and Non-Competition Agreement between the Company and the Participant, dated August 3, 2020, the terms of the Employment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1714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2600" w:hanging="648"/>
        <w:spacing w:after="0"/>
        <w:tabs>
          <w:tab w:leader="none" w:pos="26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Time-Based RSUs.</w:t>
      </w:r>
    </w:p>
    <w:p>
      <w:pPr>
        <w:spacing w:after="0" w:line="225" w:lineRule="exact"/>
        <w:rPr>
          <w:rFonts w:ascii="Arial" w:cs="Arial" w:eastAsia="Arial" w:hAnsi="Arial"/>
          <w:sz w:val="18"/>
          <w:szCs w:val="18"/>
          <w:color w:val="auto"/>
        </w:rPr>
      </w:pPr>
    </w:p>
    <w:p>
      <w:pPr>
        <w:ind w:left="1300" w:firstLine="1300"/>
        <w:spacing w:after="0" w:line="308" w:lineRule="auto"/>
        <w:tabs>
          <w:tab w:leader="none" w:pos="3244"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Subject to the Participant’s continued employment with the Company through each applicable Vesting Date listed in the chart below (the “</w:t>
      </w:r>
      <w:r>
        <w:rPr>
          <w:rFonts w:ascii="Arial" w:cs="Arial" w:eastAsia="Arial" w:hAnsi="Arial"/>
          <w:sz w:val="17"/>
          <w:szCs w:val="17"/>
          <w:u w:val="single" w:color="auto"/>
          <w:color w:val="auto"/>
        </w:rPr>
        <w:t>Vesting Chart</w:t>
      </w:r>
      <w:r>
        <w:rPr>
          <w:rFonts w:ascii="Arial" w:cs="Arial" w:eastAsia="Arial" w:hAnsi="Arial"/>
          <w:sz w:val="17"/>
          <w:szCs w:val="17"/>
          <w:color w:val="auto"/>
        </w:rPr>
        <w:t>”), the Time-Based RSUs shall become vested as follows: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840" w:type="dxa"/>
            <w:vAlign w:val="bottom"/>
            <w:tcBorders>
              <w:top w:val="single" w:sz="8" w:color="auto"/>
              <w:left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Percent of Time-Based RSUs Vesting</w:t>
            </w:r>
          </w:p>
        </w:tc>
        <w:tc>
          <w:tcPr>
            <w:tcW w:w="470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color w:val="auto"/>
              </w:rPr>
              <w:t>Vesting Date</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r>
        <w:trPr>
          <w:trHeight w:val="480"/>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r>
        <w:trPr>
          <w:trHeight w:val="479"/>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r>
        <w:trPr>
          <w:trHeight w:val="479"/>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r>
        <w:trPr>
          <w:trHeight w:val="480"/>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bl>
    <w:p>
      <w:pPr>
        <w:spacing w:after="0" w:line="296" w:lineRule="exact"/>
        <w:rPr>
          <w:sz w:val="20"/>
          <w:szCs w:val="20"/>
          <w:color w:val="auto"/>
        </w:rPr>
      </w:pPr>
    </w:p>
    <w:p>
      <w:pPr>
        <w:jc w:val="both"/>
        <w:ind w:left="1300" w:firstLine="1300"/>
        <w:spacing w:after="0" w:line="255" w:lineRule="auto"/>
        <w:tabs>
          <w:tab w:leader="none" w:pos="324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Notwithstanding the foregoing, in the event that a “Change in Control” (which for purposes of this Agreement shall have the meaning set forth in the Plan as modified by the language at the end of this Section 3) occurs at a time when any portion of the Time-Based RSUs remain unvested, then effective upon the consummation of the Change in Control, the vesting of the portion of the Time-Based RSUs which is not then fully vested shall accelerate such that any portion of the Time-Based RSUs which would have become vested during the one-year period following the Change in Control shall become vested effective as of the consummation of the Change in Control.</w:t>
      </w:r>
    </w:p>
    <w:p>
      <w:pPr>
        <w:spacing w:after="0" w:line="192" w:lineRule="exact"/>
        <w:rPr>
          <w:rFonts w:ascii="Arial" w:cs="Arial" w:eastAsia="Arial" w:hAnsi="Arial"/>
          <w:sz w:val="18"/>
          <w:szCs w:val="18"/>
          <w:color w:val="auto"/>
        </w:rPr>
      </w:pPr>
    </w:p>
    <w:p>
      <w:pPr>
        <w:jc w:val="both"/>
        <w:ind w:left="1300" w:firstLine="1577"/>
        <w:spacing w:after="0" w:line="254" w:lineRule="auto"/>
        <w:tabs>
          <w:tab w:leader="none" w:pos="3182" w:val="left"/>
        </w:tabs>
        <w:numPr>
          <w:ilvl w:val="2"/>
          <w:numId w:val="19"/>
        </w:numPr>
        <w:rPr>
          <w:rFonts w:ascii="Arial" w:cs="Arial" w:eastAsia="Arial" w:hAnsi="Arial"/>
          <w:sz w:val="18"/>
          <w:szCs w:val="18"/>
          <w:color w:val="auto"/>
        </w:rPr>
      </w:pPr>
      <w:r>
        <w:rPr>
          <w:rFonts w:ascii="Arial" w:cs="Arial" w:eastAsia="Arial" w:hAnsi="Arial"/>
          <w:sz w:val="18"/>
          <w:szCs w:val="18"/>
          <w:color w:val="auto"/>
        </w:rPr>
        <w:t>In addition: (1) in the event that Participant’s employment by the Company is terminated by the Company without Cause (as defined in the Plan) (x) at any time 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Time-Based RSUs which is unvested as of the termination date.</w:t>
      </w:r>
    </w:p>
    <w:p>
      <w:pPr>
        <w:spacing w:after="0" w:line="194" w:lineRule="exact"/>
        <w:rPr>
          <w:rFonts w:ascii="Arial" w:cs="Arial" w:eastAsia="Arial" w:hAnsi="Arial"/>
          <w:sz w:val="18"/>
          <w:szCs w:val="18"/>
          <w:color w:val="auto"/>
        </w:rPr>
      </w:pPr>
    </w:p>
    <w:p>
      <w:pPr>
        <w:jc w:val="both"/>
        <w:ind w:left="1300" w:firstLine="1534"/>
        <w:spacing w:after="0" w:line="263" w:lineRule="auto"/>
        <w:tabs>
          <w:tab w:leader="none" w:pos="31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184" w:lineRule="exact"/>
        <w:rPr>
          <w:sz w:val="20"/>
          <w:szCs w:val="20"/>
          <w:color w:val="auto"/>
        </w:rPr>
      </w:pPr>
    </w:p>
    <w:p>
      <w:pPr>
        <w:jc w:val="both"/>
        <w:ind w:left="1960" w:firstLine="1774"/>
        <w:spacing w:after="0" w:line="275" w:lineRule="auto"/>
        <w:rPr>
          <w:sz w:val="20"/>
          <w:szCs w:val="20"/>
          <w:color w:val="auto"/>
        </w:rPr>
      </w:pPr>
      <w:r>
        <w:rPr>
          <w:rFonts w:ascii="Arial" w:cs="Arial" w:eastAsia="Arial" w:hAnsi="Arial"/>
          <w:sz w:val="17"/>
          <w:szCs w:val="17"/>
          <w:color w:val="auto"/>
        </w:rPr>
        <w:t>(i)a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176" w:lineRule="exact"/>
        <w:rPr>
          <w:sz w:val="20"/>
          <w:szCs w:val="20"/>
          <w:color w:val="auto"/>
        </w:rPr>
      </w:pPr>
    </w:p>
    <w:p>
      <w:pPr>
        <w:jc w:val="both"/>
        <w:ind w:left="1960" w:right="20" w:firstLine="1724"/>
        <w:spacing w:after="0" w:line="263" w:lineRule="auto"/>
        <w:rPr>
          <w:sz w:val="20"/>
          <w:szCs w:val="20"/>
          <w:color w:val="auto"/>
        </w:rPr>
      </w:pPr>
      <w:r>
        <w:rPr>
          <w:rFonts w:ascii="Arial" w:cs="Arial" w:eastAsia="Arial" w:hAnsi="Arial"/>
          <w:sz w:val="18"/>
          <w:szCs w:val="18"/>
          <w:color w:val="auto"/>
        </w:rPr>
        <w:t>(ii)Participant’s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55" w:name="page56"/>
    <w:bookmarkEnd w:id="55"/>
    <w:p>
      <w:pPr>
        <w:ind w:left="1740"/>
        <w:spacing w:after="0"/>
        <w:rPr>
          <w:sz w:val="20"/>
          <w:szCs w:val="20"/>
          <w:color w:val="auto"/>
        </w:rPr>
      </w:pPr>
      <w:r>
        <w:rPr>
          <w:rFonts w:ascii="Arial" w:cs="Arial" w:eastAsia="Arial" w:hAnsi="Arial"/>
          <w:sz w:val="18"/>
          <w:szCs w:val="18"/>
          <w:color w:val="auto"/>
        </w:rPr>
        <w:t>Participant’s title shall not constitute a significant reduction of Participant’s duties and authorities hereunder;</w:t>
      </w:r>
    </w:p>
    <w:p>
      <w:pPr>
        <w:spacing w:after="0" w:line="225" w:lineRule="exact"/>
        <w:rPr>
          <w:sz w:val="20"/>
          <w:szCs w:val="20"/>
          <w:color w:val="auto"/>
        </w:rPr>
      </w:pPr>
    </w:p>
    <w:p>
      <w:pPr>
        <w:ind w:left="1740" w:firstLine="1674"/>
        <w:spacing w:after="0" w:line="308" w:lineRule="auto"/>
        <w:rPr>
          <w:sz w:val="20"/>
          <w:szCs w:val="20"/>
          <w:color w:val="auto"/>
        </w:rPr>
      </w:pPr>
      <w:r>
        <w:rPr>
          <w:rFonts w:ascii="Arial" w:cs="Arial" w:eastAsia="Arial" w:hAnsi="Arial"/>
          <w:sz w:val="17"/>
          <w:szCs w:val="17"/>
          <w:color w:val="auto"/>
        </w:rPr>
        <w:t>(iii)following a Change in Control, a change in the office or location where Participant is based of more than thirty (30) miles, which new location is more than thirty (30) miles from Participant’s primary residence; or</w:t>
      </w:r>
    </w:p>
    <w:p>
      <w:pPr>
        <w:spacing w:after="0" w:line="146" w:lineRule="exact"/>
        <w:rPr>
          <w:sz w:val="20"/>
          <w:szCs w:val="20"/>
          <w:color w:val="auto"/>
        </w:rPr>
      </w:pPr>
    </w:p>
    <w:p>
      <w:pPr>
        <w:ind w:left="1740" w:firstLine="1684"/>
        <w:spacing w:after="0" w:line="277" w:lineRule="auto"/>
        <w:rPr>
          <w:sz w:val="20"/>
          <w:szCs w:val="20"/>
          <w:color w:val="auto"/>
        </w:rPr>
      </w:pPr>
      <w:r>
        <w:rPr>
          <w:rFonts w:ascii="Arial" w:cs="Arial" w:eastAsia="Arial" w:hAnsi="Arial"/>
          <w:sz w:val="18"/>
          <w:szCs w:val="18"/>
          <w:color w:val="auto"/>
        </w:rPr>
        <w:t>(iv)following a Change in Control, a breach by the Company of any material term of any employment, consulting, or similar agreement between the Company and Participant;</w:t>
      </w:r>
    </w:p>
    <w:p>
      <w:pPr>
        <w:spacing w:after="0" w:line="170"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187" w:lineRule="exact"/>
        <w:rPr>
          <w:sz w:val="20"/>
          <w:szCs w:val="20"/>
          <w:color w:val="auto"/>
        </w:rPr>
      </w:pPr>
    </w:p>
    <w:p>
      <w:pPr>
        <w:jc w:val="both"/>
        <w:ind w:left="1080" w:firstLine="1300"/>
        <w:spacing w:after="0" w:line="263" w:lineRule="auto"/>
        <w:tabs>
          <w:tab w:leader="none" w:pos="30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Notwithstanding the foregoing, in the event that Participant’s employment with the Company is terminated due to Participant’s death at a time when any portion of the Time-Based RSUs remain unvested, the portion of the Time-Based RSUs which is unvested shall become immediately vested effective as of the date of Participant’s death.</w:t>
      </w:r>
    </w:p>
    <w:p>
      <w:pPr>
        <w:spacing w:after="0" w:line="183" w:lineRule="exact"/>
        <w:rPr>
          <w:rFonts w:ascii="Arial" w:cs="Arial" w:eastAsia="Arial" w:hAnsi="Arial"/>
          <w:sz w:val="18"/>
          <w:szCs w:val="18"/>
          <w:color w:val="auto"/>
        </w:rPr>
      </w:pPr>
    </w:p>
    <w:p>
      <w:pPr>
        <w:jc w:val="both"/>
        <w:ind w:left="1080" w:firstLine="1300"/>
        <w:spacing w:after="0" w:line="263" w:lineRule="auto"/>
        <w:tabs>
          <w:tab w:leader="none" w:pos="30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Notwithstanding the foregoing, and assuming that such Time-Based RSUs have been outstanding for at least six (6) months from the Grant Date, in the event that Participant’s employment with Company is terminated, other than by Company for Cause,</w:t>
      </w:r>
    </w:p>
    <w:p>
      <w:pPr>
        <w:spacing w:after="0" w:line="184" w:lineRule="exact"/>
        <w:rPr>
          <w:sz w:val="20"/>
          <w:szCs w:val="20"/>
          <w:color w:val="auto"/>
        </w:rPr>
      </w:pPr>
    </w:p>
    <w:p>
      <w:pPr>
        <w:jc w:val="both"/>
        <w:ind w:left="1740" w:firstLine="1086"/>
        <w:spacing w:after="0" w:line="257" w:lineRule="auto"/>
        <w:rPr>
          <w:sz w:val="20"/>
          <w:szCs w:val="20"/>
          <w:color w:val="auto"/>
        </w:rPr>
      </w:pPr>
      <w:r>
        <w:rPr>
          <w:rFonts w:ascii="Arial" w:cs="Arial" w:eastAsia="Arial" w:hAnsi="Arial"/>
          <w:sz w:val="18"/>
          <w:szCs w:val="18"/>
          <w:color w:val="auto"/>
        </w:rPr>
        <w:t>(v)after having attained age sixty (60) with ten (10) years of service with the Company (or its Affiliates) at a time when any portion of the Time-Based RSUs remain unvested, then one-hundred percent (100%) of that portion of the Participant’s Time-Based RSUs (and only that portion) that is scheduled to vest within the next twelve (12) months shall become immediately vested as of the date the Participant terminates employment, and any remaining unvested Time-Based RSUs shall be immediately forfeited; and</w:t>
      </w:r>
    </w:p>
    <w:p>
      <w:pPr>
        <w:spacing w:after="0" w:line="188" w:lineRule="exact"/>
        <w:rPr>
          <w:sz w:val="20"/>
          <w:szCs w:val="20"/>
          <w:color w:val="auto"/>
        </w:rPr>
      </w:pPr>
    </w:p>
    <w:p>
      <w:pPr>
        <w:jc w:val="both"/>
        <w:ind w:left="1740" w:firstLine="1036"/>
        <w:spacing w:after="0" w:line="259" w:lineRule="auto"/>
        <w:rPr>
          <w:sz w:val="20"/>
          <w:szCs w:val="20"/>
          <w:color w:val="auto"/>
        </w:rPr>
      </w:pPr>
      <w:r>
        <w:rPr>
          <w:rFonts w:ascii="Arial" w:cs="Arial" w:eastAsia="Arial" w:hAnsi="Arial"/>
          <w:sz w:val="18"/>
          <w:szCs w:val="18"/>
          <w:color w:val="auto"/>
        </w:rPr>
        <w:t>(vi)after having attained age sixty (60) with five (5) years of service with the Company (or its Affiliates), then fifty percent (50%) of that portion of the Participant’s Time-Based RSUs (and only that portion) that is scheduled to vest within the next twelve (12) months shall become immediately vested as of the date the Participant terminates employment, and any remaining unvested Time-Based RSUs shall be immediately forfeited.</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Time-Based RSUs shall be settled in accordance with Section 4 of this Agreement.</w:t>
      </w:r>
    </w:p>
    <w:p>
      <w:pPr>
        <w:spacing w:after="0" w:line="225" w:lineRule="exact"/>
        <w:rPr>
          <w:sz w:val="20"/>
          <w:szCs w:val="20"/>
          <w:color w:val="auto"/>
        </w:rPr>
      </w:pPr>
    </w:p>
    <w:p>
      <w:pPr>
        <w:ind w:left="2380" w:hanging="648"/>
        <w:spacing w:after="0"/>
        <w:tabs>
          <w:tab w:leader="none" w:pos="23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Performance-Based RSUs.</w:t>
      </w:r>
    </w:p>
    <w:p>
      <w:pPr>
        <w:spacing w:after="0" w:line="225" w:lineRule="exact"/>
        <w:rPr>
          <w:rFonts w:ascii="Arial" w:cs="Arial" w:eastAsia="Arial" w:hAnsi="Arial"/>
          <w:sz w:val="18"/>
          <w:szCs w:val="18"/>
          <w:color w:val="auto"/>
        </w:rPr>
      </w:pPr>
    </w:p>
    <w:p>
      <w:pPr>
        <w:jc w:val="both"/>
        <w:ind w:left="1080" w:firstLine="1300"/>
        <w:spacing w:after="0" w:line="259" w:lineRule="auto"/>
        <w:tabs>
          <w:tab w:leader="none" w:pos="302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Except as otherwise provided herein, the Performance-Based RSUs shall cliff vest on [_____], based on continuous service with the Company through such Vesting Date and the achievement of relative total stockholder return (“</w:t>
      </w:r>
      <w:r>
        <w:rPr>
          <w:rFonts w:ascii="Arial" w:cs="Arial" w:eastAsia="Arial" w:hAnsi="Arial"/>
          <w:sz w:val="18"/>
          <w:szCs w:val="18"/>
          <w:u w:val="single" w:color="auto"/>
          <w:color w:val="auto"/>
        </w:rPr>
        <w:t>TSR</w:t>
      </w:r>
      <w:r>
        <w:rPr>
          <w:rFonts w:ascii="Arial" w:cs="Arial" w:eastAsia="Arial" w:hAnsi="Arial"/>
          <w:sz w:val="18"/>
          <w:szCs w:val="18"/>
          <w:color w:val="auto"/>
        </w:rPr>
        <w:t xml:space="preserve">”) performance of the Company against the Peer Group (as defined on </w:t>
      </w:r>
      <w:r>
        <w:rPr>
          <w:rFonts w:ascii="Arial" w:cs="Arial" w:eastAsia="Arial" w:hAnsi="Arial"/>
          <w:sz w:val="18"/>
          <w:szCs w:val="18"/>
          <w:u w:val="single" w:color="auto"/>
          <w:color w:val="auto"/>
        </w:rPr>
        <w:t>Exhibit A</w:t>
      </w:r>
      <w:r>
        <w:rPr>
          <w:rFonts w:ascii="Arial" w:cs="Arial" w:eastAsia="Arial" w:hAnsi="Arial"/>
          <w:sz w:val="18"/>
          <w:szCs w:val="18"/>
          <w:color w:val="auto"/>
        </w:rPr>
        <w:t>) over the period from [_____] through [_____] (the “</w:t>
      </w:r>
      <w:r>
        <w:rPr>
          <w:rFonts w:ascii="Arial" w:cs="Arial" w:eastAsia="Arial" w:hAnsi="Arial"/>
          <w:sz w:val="18"/>
          <w:szCs w:val="18"/>
          <w:u w:val="single" w:color="auto"/>
          <w:color w:val="auto"/>
        </w:rPr>
        <w:t>TSR Performance Period</w:t>
      </w:r>
      <w:r>
        <w:rPr>
          <w:rFonts w:ascii="Arial" w:cs="Arial" w:eastAsia="Arial" w:hAnsi="Arial"/>
          <w:sz w:val="18"/>
          <w:szCs w:val="18"/>
          <w:color w:val="auto"/>
        </w:rPr>
        <w:t xml:space="preserv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3020" w:hanging="640"/>
        <w:spacing w:after="0"/>
        <w:tabs>
          <w:tab w:leader="none" w:pos="302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Notwithstanding the foregoing:</w:t>
      </w:r>
    </w:p>
    <w:p>
      <w:pPr>
        <w:spacing w:after="0" w:line="225" w:lineRule="exact"/>
        <w:rPr>
          <w:rFonts w:ascii="Arial" w:cs="Arial" w:eastAsia="Arial" w:hAnsi="Arial"/>
          <w:sz w:val="18"/>
          <w:szCs w:val="18"/>
          <w:color w:val="auto"/>
        </w:rPr>
      </w:pPr>
    </w:p>
    <w:p>
      <w:pPr>
        <w:jc w:val="both"/>
        <w:ind w:left="1080" w:firstLine="1565"/>
        <w:spacing w:after="0" w:line="263" w:lineRule="auto"/>
        <w:tabs>
          <w:tab w:leader="none" w:pos="3155" w:val="left"/>
        </w:tabs>
        <w:numPr>
          <w:ilvl w:val="2"/>
          <w:numId w:val="21"/>
        </w:numPr>
        <w:rPr>
          <w:rFonts w:ascii="Arial" w:cs="Arial" w:eastAsia="Arial" w:hAnsi="Arial"/>
          <w:sz w:val="18"/>
          <w:szCs w:val="18"/>
          <w:color w:val="auto"/>
        </w:rPr>
      </w:pPr>
      <w:r>
        <w:rPr>
          <w:rFonts w:ascii="Arial" w:cs="Arial" w:eastAsia="Arial" w:hAnsi="Arial"/>
          <w:sz w:val="18"/>
          <w:szCs w:val="18"/>
          <w:color w:val="auto"/>
        </w:rPr>
        <w:t>In the event that a Change in Control occurs on or before the first anniversary of the Date of Grant, one hundred percent (100%) of the Performance-Based RSUs will be deemed earned. For the avoidance of doubt, in such event,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540" w:top="1421" w:right="339" w:bottom="1440" w:gutter="0" w:footer="0" w:header="0"/>
        </w:sectPr>
      </w:pPr>
    </w:p>
    <w:bookmarkStart w:id="56" w:name="page57"/>
    <w:bookmarkEnd w:id="56"/>
    <w:p>
      <w:pPr>
        <w:jc w:val="both"/>
        <w:ind w:left="1300"/>
        <w:spacing w:after="0" w:line="272" w:lineRule="auto"/>
        <w:rPr>
          <w:sz w:val="20"/>
          <w:szCs w:val="20"/>
          <w:color w:val="auto"/>
        </w:rPr>
      </w:pPr>
      <w:r>
        <w:rPr>
          <w:rFonts w:ascii="Arial" w:cs="Arial" w:eastAsia="Arial" w:hAnsi="Arial"/>
          <w:sz w:val="17"/>
          <w:szCs w:val="17"/>
          <w:color w:val="auto"/>
        </w:rPr>
        <w:t xml:space="preserve">will be unable to earn any additional Performance-Based RSUs. In the event that a Change in Control occurs after the first anniversary of the Date of Grant, then (i) the TSR Performance Period shall be deemed to end on the date of the Change in Control, and the Committee shall determine the TSR of the Company and the Peer Group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of such date, and shall determine the number of Performance-Based RSUs earned by the Participant; and (ii) for purposes of determination of the Company’s TSR for the TSR Performance Period, the Company’s stock price shall be equal to the consideration paid per share of the Company’s common stock in the Change in Control transaction, as determined by the Committee (and shall not be equal to the 30-day average of the Company’s stock price on the last day of the TSR Performance Period,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7" w:lineRule="exact"/>
        <w:rPr>
          <w:sz w:val="20"/>
          <w:szCs w:val="20"/>
          <w:color w:val="auto"/>
        </w:rPr>
      </w:pPr>
    </w:p>
    <w:p>
      <w:pPr>
        <w:ind w:left="3220" w:hanging="428"/>
        <w:spacing w:after="0"/>
        <w:tabs>
          <w:tab w:leader="none" w:pos="3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Performance-Based RSUs deemed earned in accordance with the foregoing provisions of this Section 3(b)</w:t>
      </w:r>
    </w:p>
    <w:p>
      <w:pPr>
        <w:spacing w:after="0" w:line="46" w:lineRule="exact"/>
        <w:rPr>
          <w:rFonts w:ascii="Arial" w:cs="Arial" w:eastAsia="Arial" w:hAnsi="Arial"/>
          <w:sz w:val="16"/>
          <w:szCs w:val="16"/>
          <w:color w:val="auto"/>
        </w:rPr>
      </w:pPr>
    </w:p>
    <w:p>
      <w:pPr>
        <w:jc w:val="both"/>
        <w:ind w:left="1300" w:firstLine="4"/>
        <w:spacing w:after="0" w:line="253" w:lineRule="auto"/>
        <w:tabs>
          <w:tab w:leader="none" w:pos="15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be treated as immediately vested in accordance with the schedule set forth in the special Change in Control vesting chart below (the “</w:t>
      </w:r>
      <w:r>
        <w:rPr>
          <w:rFonts w:ascii="Arial" w:cs="Arial" w:eastAsia="Arial" w:hAnsi="Arial"/>
          <w:sz w:val="18"/>
          <w:szCs w:val="18"/>
          <w:u w:val="single" w:color="auto"/>
          <w:color w:val="auto"/>
        </w:rPr>
        <w:t>Special CIC Vesting Chart</w:t>
      </w:r>
      <w:r>
        <w:rPr>
          <w:rFonts w:ascii="Arial" w:cs="Arial" w:eastAsia="Arial" w:hAnsi="Arial"/>
          <w:sz w:val="18"/>
          <w:szCs w:val="18"/>
          <w:color w:val="auto"/>
        </w:rPr>
        <w:t>”) as well as additional vesting based on the methodology set forth in Section 3(a)(ii)(A), subject to the Participant’s continuous employment with the Company or an Affiliate through the consummation of the Change in Control, assuming for such purpose that such deemed earned Performance-Based RSUs had originally been subject only to time-based vesting, as set forth in the Special CIC Vesting Chart.</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84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2"/>
              </w:rPr>
              <w:t>Vested Percent of Deemed Earned Performance-Based RSUs</w:t>
            </w:r>
          </w:p>
        </w:tc>
        <w:tc>
          <w:tcPr>
            <w:tcW w:w="470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color w:val="auto"/>
              </w:rPr>
              <w:t>Vesting Date</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r>
        <w:trPr>
          <w:trHeight w:val="318"/>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r>
        <w:trPr>
          <w:trHeight w:val="318"/>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r>
        <w:trPr>
          <w:trHeight w:val="318"/>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1300"/>
        <w:spacing w:after="0" w:line="283" w:lineRule="auto"/>
        <w:rPr>
          <w:sz w:val="20"/>
          <w:szCs w:val="20"/>
          <w:color w:val="auto"/>
        </w:rPr>
      </w:pPr>
      <w:r>
        <w:rPr>
          <w:rFonts w:ascii="Arial" w:cs="Arial" w:eastAsia="Arial" w:hAnsi="Arial"/>
          <w:sz w:val="16"/>
          <w:szCs w:val="16"/>
          <w:color w:val="auto"/>
        </w:rPr>
        <w:t>Accordingly, for example, the Special CIC Vesting Chart and the methodology of Section 3(a)(ii)(A) shall be applied effective as of the consummation of the Change in Control so that: (x) to the extent that any of the Vesting Dates set forth in the Special CIC Vesting Chart occurred prior to the date of the occurrence of the Change in Control, then a portion (as set forth in such chart) of such deemed earned Performance-Based RSUs shall be immediately vested effective upon the consummation of the Change in Control; and (y) after taking into account any accelerated vesting pursuant to the immediately preceding clause (x), effective upon the consummation of the Change in Control, the vesting of the portion of such deemed earned Performance-Based RSUs that are not then fully vested shall accelerate such that any portion of those deemed earned Performance-Based RSUs which would have become vested during the one-year period following the Change in Control (based on the application of the Special CIC Vesting Chart to such Performance-Based RSUs), shall become vested effective as of the consummation of the Change in Control. The remaining portion of the deemed earned Performance-Based RSUs shall cliff vest on [_____], subject to the Participant’s continuous employment with the Company or an Affiliate through</w:t>
      </w:r>
    </w:p>
    <w:p>
      <w:pPr>
        <w:spacing w:after="0" w:line="5" w:lineRule="exact"/>
        <w:rPr>
          <w:sz w:val="20"/>
          <w:szCs w:val="20"/>
          <w:color w:val="auto"/>
        </w:rPr>
      </w:pPr>
    </w:p>
    <w:p>
      <w:pPr>
        <w:jc w:val="both"/>
        <w:ind w:left="1300"/>
        <w:spacing w:after="0" w:line="252" w:lineRule="auto"/>
        <w:rPr>
          <w:sz w:val="20"/>
          <w:szCs w:val="20"/>
          <w:color w:val="auto"/>
        </w:rPr>
      </w:pPr>
      <w:r>
        <w:rPr>
          <w:rFonts w:ascii="Arial" w:cs="Arial" w:eastAsia="Arial" w:hAnsi="Arial"/>
          <w:sz w:val="18"/>
          <w:szCs w:val="18"/>
          <w:color w:val="auto"/>
        </w:rPr>
        <w:t>such date; provided that (1) in the event that Participant’s employment by the Company is terminated by the Company without Cause (x) at any time following a Change in Control or (y) in specific contemplation of a Change in Control or (2) in the event Participant resigns with Good Reason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the remaining portion of the deemed earned Performance-Based RSUs which is unvested as of the termination date.</w:t>
      </w:r>
    </w:p>
    <w:p>
      <w:pPr>
        <w:spacing w:after="0" w:line="192" w:lineRule="exact"/>
        <w:rPr>
          <w:sz w:val="20"/>
          <w:szCs w:val="20"/>
          <w:color w:val="auto"/>
        </w:rPr>
      </w:pPr>
    </w:p>
    <w:p>
      <w:pPr>
        <w:ind w:left="3240" w:hanging="640"/>
        <w:spacing w:after="0"/>
        <w:tabs>
          <w:tab w:leader="none" w:pos="32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1" w:right="339" w:bottom="1440" w:gutter="0" w:footer="0" w:header="0"/>
        </w:sectPr>
      </w:pPr>
    </w:p>
    <w:bookmarkStart w:id="57" w:name="page58"/>
    <w:bookmarkEnd w:id="57"/>
    <w:p>
      <w:pPr>
        <w:jc w:val="both"/>
        <w:ind w:left="1160" w:firstLine="1868"/>
        <w:spacing w:after="0" w:line="301" w:lineRule="auto"/>
        <w:tabs>
          <w:tab w:leader="none" w:pos="3534"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Prior to a Change in Control</w:t>
      </w:r>
      <w:r>
        <w:rPr>
          <w:rFonts w:ascii="Arial" w:cs="Arial" w:eastAsia="Arial" w:hAnsi="Arial"/>
          <w:sz w:val="16"/>
          <w:szCs w:val="16"/>
          <w:color w:val="auto"/>
        </w:rPr>
        <w:t>. In the event that no Change in Control has occurred and Participant’s employment with the Company is terminated due to Participant’s death prior to [_____], Participant shall become immediately vested in a number of Performance-Based RSUs equal to (x) the number of completed full months from [_____] to the date of Participant’s death divided by (y) 36 multiplied by (z) 100% of the Performance-Based RSUs, effective as of the date of Participant’s death.</w:t>
      </w:r>
    </w:p>
    <w:p>
      <w:pPr>
        <w:spacing w:after="0" w:line="157" w:lineRule="exact"/>
        <w:rPr>
          <w:rFonts w:ascii="Arial" w:cs="Arial" w:eastAsia="Arial" w:hAnsi="Arial"/>
          <w:sz w:val="16"/>
          <w:szCs w:val="16"/>
          <w:color w:val="auto"/>
        </w:rPr>
      </w:pPr>
    </w:p>
    <w:p>
      <w:pPr>
        <w:jc w:val="both"/>
        <w:ind w:left="1160" w:firstLine="1868"/>
        <w:spacing w:after="0" w:line="259" w:lineRule="auto"/>
        <w:tabs>
          <w:tab w:leader="none" w:pos="3483"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After a Change in Control</w:t>
      </w:r>
      <w:r>
        <w:rPr>
          <w:rFonts w:ascii="Arial" w:cs="Arial" w:eastAsia="Arial" w:hAnsi="Arial"/>
          <w:sz w:val="18"/>
          <w:szCs w:val="18"/>
          <w:color w:val="auto"/>
        </w:rPr>
        <w:t>. In the event that Participant’s employment with the Company is terminated due to Participant’s death prior to [_____] but after a Change in Control has occurred, Participant shall become immediately vested in 100% of the Performance-Based RSUs that were deemed earned as a result of the Change in Control pursuant to Sections 3(b)(ii)(A) and 3(b)(ii)(B) above, effective as of the date of Participant’s death.</w:t>
      </w:r>
    </w:p>
    <w:p>
      <w:pPr>
        <w:spacing w:after="0" w:line="186" w:lineRule="exact"/>
        <w:rPr>
          <w:rFonts w:ascii="Arial" w:cs="Arial" w:eastAsia="Arial" w:hAnsi="Arial"/>
          <w:sz w:val="18"/>
          <w:szCs w:val="18"/>
          <w:color w:val="auto"/>
        </w:rPr>
      </w:pPr>
    </w:p>
    <w:p>
      <w:pPr>
        <w:jc w:val="both"/>
        <w:ind w:left="1080" w:firstLine="1300"/>
        <w:spacing w:after="0" w:line="263" w:lineRule="auto"/>
        <w:tabs>
          <w:tab w:leader="none" w:pos="302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Notwithstanding the foregoing, and assuming that such Performance-Based RSUs have been outstanding for at least six (6) months from the Grant Date, in the event that Participant’s employment with Company is terminated, other than by Company for Cause,</w:t>
      </w:r>
    </w:p>
    <w:p>
      <w:pPr>
        <w:spacing w:after="0" w:line="184" w:lineRule="exact"/>
        <w:rPr>
          <w:sz w:val="20"/>
          <w:szCs w:val="20"/>
          <w:color w:val="auto"/>
        </w:rPr>
      </w:pPr>
    </w:p>
    <w:p>
      <w:pPr>
        <w:jc w:val="both"/>
        <w:ind w:left="1740" w:firstLine="986"/>
        <w:spacing w:after="0" w:line="291" w:lineRule="auto"/>
        <w:rPr>
          <w:sz w:val="20"/>
          <w:szCs w:val="20"/>
          <w:color w:val="auto"/>
        </w:rPr>
      </w:pPr>
      <w:r>
        <w:rPr>
          <w:rFonts w:ascii="Arial" w:cs="Arial" w:eastAsia="Arial" w:hAnsi="Arial"/>
          <w:sz w:val="16"/>
          <w:szCs w:val="16"/>
          <w:color w:val="auto"/>
        </w:rPr>
        <w:t>(vii)after having attained age sixty (60) with ten (10) years of service with the Company (or its Affiliates) prior to [_____], the Vesting Date for the Performance-Based RSUs, Participant shall earn a pro rata portion of the Performance-Based</w:t>
      </w:r>
    </w:p>
    <w:p>
      <w:pPr>
        <w:jc w:val="both"/>
        <w:ind w:left="1740" w:right="20"/>
        <w:spacing w:after="0" w:line="260" w:lineRule="auto"/>
        <w:rPr>
          <w:sz w:val="20"/>
          <w:szCs w:val="20"/>
          <w:color w:val="auto"/>
        </w:rPr>
      </w:pPr>
      <w:r>
        <w:rPr>
          <w:rFonts w:ascii="Arial" w:cs="Arial" w:eastAsia="Arial" w:hAnsi="Arial"/>
          <w:sz w:val="18"/>
          <w:szCs w:val="18"/>
          <w:color w:val="auto"/>
        </w:rPr>
        <w:t>RSUs based on actual Company performance (with respect to the TSR performance goals) at the end of the performance period, as determined by the Committee.</w:t>
      </w:r>
    </w:p>
    <w:p>
      <w:pPr>
        <w:spacing w:after="0" w:line="185" w:lineRule="exact"/>
        <w:rPr>
          <w:sz w:val="20"/>
          <w:szCs w:val="20"/>
          <w:color w:val="auto"/>
        </w:rPr>
      </w:pPr>
    </w:p>
    <w:p>
      <w:pPr>
        <w:jc w:val="both"/>
        <w:ind w:left="1740"/>
        <w:spacing w:after="0" w:line="301" w:lineRule="auto"/>
        <w:rPr>
          <w:sz w:val="20"/>
          <w:szCs w:val="20"/>
          <w:color w:val="auto"/>
        </w:rPr>
      </w:pPr>
      <w:r>
        <w:rPr>
          <w:rFonts w:ascii="Arial" w:cs="Arial" w:eastAsia="Arial" w:hAnsi="Arial"/>
          <w:sz w:val="16"/>
          <w:szCs w:val="16"/>
          <w:color w:val="auto"/>
        </w:rPr>
        <w:t>Such proration shall be determined as follows: the number of Performance-Based RSUs (rounded to the nearest whole number) that have been deemed earned by the Committee shall vest based on the product of the total number of Performance-Based RSUs granted on the Grant Date multiplied by the quotient of (x) divided by (y), where (x) equals the total number of years of service completed by Participant from the Grant Date (rounding up the number of years of service) and (y) equals three (3);</w:t>
      </w:r>
    </w:p>
    <w:p>
      <w:pPr>
        <w:spacing w:after="0" w:line="157" w:lineRule="exact"/>
        <w:rPr>
          <w:sz w:val="20"/>
          <w:szCs w:val="20"/>
          <w:color w:val="auto"/>
        </w:rPr>
      </w:pPr>
    </w:p>
    <w:p>
      <w:pPr>
        <w:jc w:val="both"/>
        <w:ind w:left="1740" w:firstLine="936"/>
        <w:spacing w:after="0" w:line="274" w:lineRule="auto"/>
        <w:rPr>
          <w:sz w:val="20"/>
          <w:szCs w:val="20"/>
          <w:color w:val="auto"/>
        </w:rPr>
      </w:pPr>
      <w:r>
        <w:rPr>
          <w:rFonts w:ascii="Arial" w:cs="Arial" w:eastAsia="Arial" w:hAnsi="Arial"/>
          <w:sz w:val="17"/>
          <w:szCs w:val="17"/>
          <w:color w:val="auto"/>
        </w:rPr>
        <w:t>(viii)after having attained age sixty (60) with only five (5) years of service with the Company (or its Affiliates) prior to [_____], the Vesting Date for the Performance-Based RSUs, the Participant shall earn a pro rata portion of the</w:t>
      </w:r>
    </w:p>
    <w:p>
      <w:pPr>
        <w:jc w:val="both"/>
        <w:ind w:left="1740"/>
        <w:spacing w:after="0" w:line="260" w:lineRule="auto"/>
        <w:rPr>
          <w:sz w:val="20"/>
          <w:szCs w:val="20"/>
          <w:color w:val="auto"/>
        </w:rPr>
      </w:pPr>
      <w:r>
        <w:rPr>
          <w:rFonts w:ascii="Arial" w:cs="Arial" w:eastAsia="Arial" w:hAnsi="Arial"/>
          <w:sz w:val="18"/>
          <w:szCs w:val="18"/>
          <w:color w:val="auto"/>
        </w:rPr>
        <w:t>Performance-Based RSUs calculated in accordance with the methodology outlined in subsection 3(b)(v)(A) immediately above, provided that such amount shall be reduced by fifty-percent (50%).</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Any Performance-Based RSUs shall be settled in accordance with Section 4 of this Agreement after the end of the performance period.</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determination of any prorated Performance-Based RSU shall be made by the Committee in its sole discretion.</w:t>
      </w:r>
    </w:p>
    <w:p>
      <w:pPr>
        <w:spacing w:after="0" w:line="211" w:lineRule="exact"/>
        <w:rPr>
          <w:sz w:val="20"/>
          <w:szCs w:val="20"/>
          <w:color w:val="auto"/>
        </w:rPr>
      </w:pPr>
    </w:p>
    <w:p>
      <w:pPr>
        <w:jc w:val="both"/>
        <w:ind w:left="-220" w:firstLine="1952"/>
        <w:spacing w:after="0" w:line="279" w:lineRule="auto"/>
        <w:tabs>
          <w:tab w:leader="none" w:pos="2372"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Special 409A Rule.</w:t>
      </w:r>
      <w:r>
        <w:rPr>
          <w:rFonts w:ascii="Arial" w:cs="Arial" w:eastAsia="Arial" w:hAnsi="Arial"/>
          <w:sz w:val="17"/>
          <w:szCs w:val="17"/>
          <w:color w:val="auto"/>
        </w:rPr>
        <w:t xml:space="preserve"> Notwithstanding anything to the contrary in this Section 3,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171" w:lineRule="exact"/>
        <w:rPr>
          <w:rFonts w:ascii="Arial" w:cs="Arial" w:eastAsia="Arial" w:hAnsi="Arial"/>
          <w:sz w:val="17"/>
          <w:szCs w:val="17"/>
          <w:color w:val="auto"/>
        </w:rPr>
      </w:pPr>
    </w:p>
    <w:p>
      <w:pPr>
        <w:ind w:left="1740" w:hanging="656"/>
        <w:spacing w:after="0"/>
        <w:tabs>
          <w:tab w:leader="none" w:pos="17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20" w:firstLine="1952"/>
        <w:spacing w:after="0" w:line="259" w:lineRule="auto"/>
        <w:tabs>
          <w:tab w:leader="none" w:pos="237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As soon as practicable following each applicable Vesting Date (including as applicable the date of consummation of a Change in Control and certain terminations of employment upon or following a Change in Control, as applicable),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8"/>
          <w:szCs w:val="18"/>
          <w:u w:val="single" w:color="auto"/>
          <w:color w:val="auto"/>
        </w:rPr>
        <w:t>RSU Shares</w:t>
      </w:r>
      <w:r>
        <w:rPr>
          <w:rFonts w:ascii="Arial" w:cs="Arial" w:eastAsia="Arial" w:hAnsi="Arial"/>
          <w:sz w:val="18"/>
          <w:szCs w:val="18"/>
          <w:color w:val="auto"/>
        </w:rPr>
        <w: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20"/>
          </w:cols>
          <w:pgMar w:left="540" w:top="1421" w:right="339" w:bottom="1440" w:gutter="0" w:footer="0" w:header="0"/>
        </w:sectPr>
      </w:pPr>
    </w:p>
    <w:bookmarkStart w:id="58" w:name="page59"/>
    <w:bookmarkEnd w:id="58"/>
    <w:p>
      <w:pPr>
        <w:jc w:val="both"/>
        <w:spacing w:after="0" w:line="287" w:lineRule="auto"/>
        <w:rPr>
          <w:sz w:val="20"/>
          <w:szCs w:val="20"/>
          <w:color w:val="auto"/>
        </w:rPr>
      </w:pPr>
      <w:r>
        <w:rPr>
          <w:rFonts w:ascii="Arial" w:cs="Arial" w:eastAsia="Arial" w:hAnsi="Arial"/>
          <w:sz w:val="16"/>
          <w:szCs w:val="16"/>
          <w:color w:val="auto"/>
        </w:rPr>
        <w:t>any fractional shares paid out in cash (and, upon such settlement, the Restricted Stock Units shall cease to be credited to the Account) and (ii) enter the Participant’s name as a stockholder of record with respect to the RSU Shares on the books of the Company. The Committee shall make all determinations with respect to the Performance-Based RSUs as soon as administratively practicable after [_____] (or as of the Change in Control, as applicable) such that</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settlement of the earned and vested Performance-Based RSUs shall be made within the applicable short-term deferral period for purposes of Section 409A of the Code.</w:t>
      </w:r>
    </w:p>
    <w:p>
      <w:pPr>
        <w:spacing w:after="0" w:line="185" w:lineRule="exact"/>
        <w:rPr>
          <w:sz w:val="20"/>
          <w:szCs w:val="20"/>
          <w:color w:val="auto"/>
        </w:rPr>
      </w:pPr>
    </w:p>
    <w:p>
      <w:pPr>
        <w:jc w:val="both"/>
        <w:ind w:firstLine="1952"/>
        <w:spacing w:after="0" w:line="254" w:lineRule="auto"/>
        <w:tabs>
          <w:tab w:leader="none" w:pos="259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If on any date that Restricted Stock Units remain credited to the Account, dividends are paid by the Company on outstanding shares of its Common Stock (“</w:t>
      </w:r>
      <w:r>
        <w:rPr>
          <w:rFonts w:ascii="Arial" w:cs="Arial" w:eastAsia="Arial" w:hAnsi="Arial"/>
          <w:sz w:val="18"/>
          <w:szCs w:val="18"/>
          <w:u w:val="single" w:color="auto"/>
          <w:color w:val="auto"/>
        </w:rPr>
        <w:t>Shares</w:t>
      </w:r>
      <w:r>
        <w:rPr>
          <w:rFonts w:ascii="Arial" w:cs="Arial" w:eastAsia="Arial" w:hAnsi="Arial"/>
          <w:sz w:val="18"/>
          <w:szCs w:val="18"/>
          <w:color w:val="auto"/>
        </w:rPr>
        <w:t>”) (each, a “</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then the Participant's Account shall, as of each such Dividend Payment Date, be credited with an amount (each such amount, a “</w:t>
      </w:r>
      <w:r>
        <w:rPr>
          <w:rFonts w:ascii="Arial" w:cs="Arial" w:eastAsia="Arial" w:hAnsi="Arial"/>
          <w:sz w:val="18"/>
          <w:szCs w:val="18"/>
          <w:u w:val="single" w:color="auto"/>
          <w:color w:val="auto"/>
        </w:rPr>
        <w:t>Dividend Equivalent Amount</w:t>
      </w:r>
      <w:r>
        <w:rPr>
          <w:rFonts w:ascii="Arial" w:cs="Arial" w:eastAsia="Arial" w:hAnsi="Arial"/>
          <w:sz w:val="18"/>
          <w:szCs w:val="18"/>
          <w:color w:val="auto"/>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spacing w:after="0" w:line="191" w:lineRule="exact"/>
        <w:rPr>
          <w:rFonts w:ascii="Arial" w:cs="Arial" w:eastAsia="Arial" w:hAnsi="Arial"/>
          <w:sz w:val="18"/>
          <w:szCs w:val="18"/>
          <w:color w:val="auto"/>
        </w:rPr>
      </w:pPr>
    </w:p>
    <w:p>
      <w:pPr>
        <w:jc w:val="both"/>
        <w:ind w:firstLine="1952"/>
        <w:spacing w:after="0" w:line="290" w:lineRule="auto"/>
        <w:tabs>
          <w:tab w:leader="none" w:pos="259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xml:space="preserve">. Upon the settlement of the Award in accordance with Section 4(a) hereof, the Participant shall recognize taxable income in respect of the Award, and the Company shall report such taxable income to the appropriate taxing authorities in respect of the Award as it determines to be necessary and appropriate. Upon the settlement of the Award in RSU Shares, the Participant shall be required as a condition of such settlement to pay to the Company by check or wire transfer the amount of any income, payroll, or social tax withholding that the Company determines is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may elect to satisfy such tax withholding obligation by having the Company withhold from the settlement that number of RSU Shares having a Fair Market Value equal to the amount of such withholding;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number of RSU Shares that may be so withheld by the Company shall be limited to that number of RSU Shares having an aggregate Fair Market Value on the date of such withholding equal to the aggregate amount of the Participant’s income, payroll and social tax liabilities based upon the applicable minimum withholding rates.</w:t>
      </w:r>
    </w:p>
    <w:p>
      <w:pPr>
        <w:spacing w:after="0" w:line="165" w:lineRule="exact"/>
        <w:rPr>
          <w:rFonts w:ascii="Arial" w:cs="Arial" w:eastAsia="Arial" w:hAnsi="Arial"/>
          <w:sz w:val="16"/>
          <w:szCs w:val="16"/>
          <w:color w:val="auto"/>
        </w:rPr>
      </w:pPr>
    </w:p>
    <w:p>
      <w:pPr>
        <w:jc w:val="both"/>
        <w:ind w:firstLine="1952"/>
        <w:spacing w:after="0" w:line="259" w:lineRule="auto"/>
        <w:tabs>
          <w:tab w:leader="none" w:pos="259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 Except as otherwise provided in the Plan, or as set forth in any employment, consulting or other agreement between the Company or an Affiliate and the Participant in effect on the date hereof, if the Participant’s employment with the Company terminates prior to any Vesting Date for any reason, all remaining Restricted Stock Units credited to the Account shall be forfeited without further consideration to the Participant.</w:t>
      </w:r>
    </w:p>
    <w:p>
      <w:pPr>
        <w:spacing w:after="0" w:line="186" w:lineRule="exact"/>
        <w:rPr>
          <w:rFonts w:ascii="Arial" w:cs="Arial" w:eastAsia="Arial" w:hAnsi="Arial"/>
          <w:sz w:val="18"/>
          <w:szCs w:val="18"/>
          <w:color w:val="auto"/>
        </w:rPr>
      </w:pPr>
    </w:p>
    <w:p>
      <w:pPr>
        <w:jc w:val="both"/>
        <w:ind w:firstLine="1952"/>
        <w:spacing w:after="0" w:line="259" w:lineRule="auto"/>
        <w:tabs>
          <w:tab w:leader="none" w:pos="259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spacing w:after="0" w:line="186" w:lineRule="exact"/>
        <w:rPr>
          <w:rFonts w:ascii="Arial" w:cs="Arial" w:eastAsia="Arial" w:hAnsi="Arial"/>
          <w:sz w:val="18"/>
          <w:szCs w:val="18"/>
          <w:color w:val="auto"/>
        </w:rPr>
      </w:pPr>
    </w:p>
    <w:p>
      <w:pPr>
        <w:jc w:val="both"/>
        <w:ind w:firstLine="1952"/>
        <w:spacing w:after="0" w:line="301" w:lineRule="auto"/>
        <w:tabs>
          <w:tab w:leader="none" w:pos="259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157" w:lineRule="exact"/>
        <w:rPr>
          <w:rFonts w:ascii="Arial" w:cs="Arial" w:eastAsia="Arial" w:hAnsi="Arial"/>
          <w:sz w:val="16"/>
          <w:szCs w:val="16"/>
          <w:color w:val="auto"/>
        </w:rPr>
      </w:pPr>
    </w:p>
    <w:p>
      <w:pPr>
        <w:ind w:left="1960" w:hanging="656"/>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2"/>
        <w:spacing w:after="0" w:line="342" w:lineRule="auto"/>
        <w:tabs>
          <w:tab w:leader="none" w:pos="2587"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1" w:right="339" w:bottom="1440" w:gutter="0" w:footer="0" w:header="0"/>
        </w:sectPr>
      </w:pPr>
    </w:p>
    <w:bookmarkStart w:id="59" w:name="page60"/>
    <w:bookmarkEnd w:id="59"/>
    <w:p>
      <w:pPr>
        <w:ind w:firstLine="1952"/>
        <w:spacing w:after="0" w:line="277" w:lineRule="auto"/>
        <w:tabs>
          <w:tab w:leader="none" w:pos="258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7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320 Park Avenue, 29th Floor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if to the Participant, at the Participant’s last known address on file with the Company.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84" w:lineRule="exact"/>
        <w:rPr>
          <w:sz w:val="20"/>
          <w:szCs w:val="20"/>
          <w:color w:val="auto"/>
        </w:rPr>
      </w:pPr>
    </w:p>
    <w:p>
      <w:pPr>
        <w:ind w:firstLine="1304"/>
        <w:spacing w:after="0" w:line="342" w:lineRule="auto"/>
        <w:tabs>
          <w:tab w:leader="none" w:pos="194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3" w:lineRule="exact"/>
        <w:rPr>
          <w:rFonts w:ascii="Arial" w:cs="Arial" w:eastAsia="Arial" w:hAnsi="Arial"/>
          <w:sz w:val="16"/>
          <w:szCs w:val="16"/>
          <w:color w:val="auto"/>
        </w:rPr>
      </w:pPr>
    </w:p>
    <w:p>
      <w:pPr>
        <w:jc w:val="both"/>
        <w:ind w:firstLine="1304"/>
        <w:spacing w:after="0" w:line="259" w:lineRule="auto"/>
        <w:tabs>
          <w:tab w:leader="none" w:pos="194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spacing w:after="0" w:line="183" w:lineRule="exact"/>
        <w:rPr>
          <w:rFonts w:ascii="Arial" w:cs="Arial" w:eastAsia="Arial" w:hAnsi="Arial"/>
          <w:sz w:val="18"/>
          <w:szCs w:val="18"/>
          <w:color w:val="auto"/>
        </w:rPr>
      </w:pPr>
    </w:p>
    <w:p>
      <w:pPr>
        <w:ind w:firstLine="1304"/>
        <w:spacing w:after="0" w:line="277" w:lineRule="auto"/>
        <w:tabs>
          <w:tab w:leader="none" w:pos="194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939"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is in writing and signed by the parties hereto.</w:t>
      </w:r>
    </w:p>
    <w:p>
      <w:pPr>
        <w:spacing w:after="0" w:line="165" w:lineRule="exact"/>
        <w:rPr>
          <w:rFonts w:ascii="Arial" w:cs="Arial" w:eastAsia="Arial" w:hAnsi="Arial"/>
          <w:sz w:val="17"/>
          <w:szCs w:val="17"/>
          <w:color w:val="auto"/>
        </w:rPr>
      </w:pPr>
    </w:p>
    <w:p>
      <w:pPr>
        <w:ind w:firstLine="1304"/>
        <w:spacing w:after="0" w:line="277" w:lineRule="auto"/>
        <w:tabs>
          <w:tab w:leader="none" w:pos="193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70" w:lineRule="exact"/>
        <w:rPr>
          <w:rFonts w:ascii="Arial" w:cs="Arial" w:eastAsia="Arial" w:hAnsi="Arial"/>
          <w:sz w:val="18"/>
          <w:szCs w:val="18"/>
          <w:color w:val="auto"/>
        </w:rPr>
      </w:pPr>
    </w:p>
    <w:p>
      <w:pPr>
        <w:jc w:val="both"/>
        <w:ind w:firstLine="1304"/>
        <w:spacing w:after="0" w:line="296" w:lineRule="auto"/>
        <w:tabs>
          <w:tab w:leader="none" w:pos="1939"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Except for the Arbitration Agreement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which is expressly governed by the Federal Arbitration Act (FAA),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Should the FAA not govern the Arbitration Agreement for any reason, then that portion of this agreement shall be construed and interpreted in accordance with the laws of the State of Delaware without regard to principles of conflicts of law of that or any other jurisdiction.</w:t>
      </w:r>
    </w:p>
    <w:p>
      <w:pPr>
        <w:spacing w:after="0" w:line="161" w:lineRule="exact"/>
        <w:rPr>
          <w:rFonts w:ascii="Arial" w:cs="Arial" w:eastAsia="Arial" w:hAnsi="Arial"/>
          <w:sz w:val="16"/>
          <w:szCs w:val="16"/>
          <w:color w:val="auto"/>
        </w:rPr>
      </w:pPr>
    </w:p>
    <w:p>
      <w:pPr>
        <w:jc w:val="both"/>
        <w:ind w:firstLine="1304"/>
        <w:spacing w:after="0" w:line="263" w:lineRule="auto"/>
        <w:tabs>
          <w:tab w:leader="none" w:pos="1939"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Binding Agreement to Arbitrate.</w:t>
      </w:r>
      <w:r>
        <w:rPr>
          <w:rFonts w:ascii="Arial" w:cs="Arial" w:eastAsia="Arial" w:hAnsi="Arial"/>
          <w:sz w:val="18"/>
          <w:szCs w:val="18"/>
          <w:color w:val="auto"/>
        </w:rPr>
        <w:t xml:space="preserve"> This Agreement is subject to the Arbitration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which is incorporated by reference herein. Except as otherwise provided in </w:t>
      </w:r>
      <w:r>
        <w:rPr>
          <w:rFonts w:ascii="Arial" w:cs="Arial" w:eastAsia="Arial" w:hAnsi="Arial"/>
          <w:sz w:val="18"/>
          <w:szCs w:val="18"/>
          <w:u w:val="single" w:color="auto"/>
          <w:color w:val="auto"/>
        </w:rPr>
        <w:t>Exhibit B</w:t>
      </w:r>
      <w:r>
        <w:rPr>
          <w:rFonts w:ascii="Arial" w:cs="Arial" w:eastAsia="Arial" w:hAnsi="Arial"/>
          <w:sz w:val="18"/>
          <w:szCs w:val="18"/>
          <w:color w:val="auto"/>
        </w:rPr>
        <w:t>, the Arbitration Agreement establishes an exclusive forum for the resolution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1" w:right="3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 xml:space="preserve">disputes covered by the Arbitration Agreement that otherwise could be resolved in court. </w:t>
      </w:r>
      <w:r>
        <w:rPr>
          <w:rFonts w:ascii="Arial" w:cs="Arial" w:eastAsia="Arial" w:hAnsi="Arial"/>
          <w:sz w:val="18"/>
          <w:szCs w:val="18"/>
          <w:u w:val="single" w:color="auto"/>
          <w:color w:val="auto"/>
        </w:rPr>
        <w:t>BY ENTERING INTO THIS AGREEMENT,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PARTICIPANT AND THE COMPANY ACKNOWLEDGE AND AGREE THAT, TO THE FULLEST EXTENT PERMITTED BY LAW, THE PARTICIPANT AND THE COMPANY ARE GIVING UP ANY RIGHTS THEY MAY HAVE TO A COURT OR JURY TRIAL OF ALL SUCH DISPUTES, which are not limited to only those arising under this agreement.</w:t>
      </w:r>
    </w:p>
    <w:p>
      <w:pPr>
        <w:spacing w:after="0" w:line="187" w:lineRule="exact"/>
        <w:rPr>
          <w:sz w:val="20"/>
          <w:szCs w:val="20"/>
          <w:color w:val="auto"/>
        </w:rPr>
      </w:pPr>
    </w:p>
    <w:p>
      <w:pPr>
        <w:jc w:val="both"/>
        <w:ind w:firstLine="1304"/>
        <w:spacing w:after="0" w:line="279" w:lineRule="auto"/>
        <w:tabs>
          <w:tab w:leader="none" w:pos="1939"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71" w:lineRule="exact"/>
        <w:rPr>
          <w:rFonts w:ascii="Arial" w:cs="Arial" w:eastAsia="Arial" w:hAnsi="Arial"/>
          <w:sz w:val="17"/>
          <w:szCs w:val="17"/>
          <w:color w:val="auto"/>
        </w:rPr>
      </w:pPr>
    </w:p>
    <w:p>
      <w:pPr>
        <w:ind w:firstLine="1304"/>
        <w:spacing w:after="0" w:line="277" w:lineRule="auto"/>
        <w:tabs>
          <w:tab w:leader="none" w:pos="193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1939"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Signature in Counterparts</w:t>
      </w:r>
      <w:r>
        <w:rPr>
          <w:rFonts w:ascii="Arial" w:cs="Arial" w:eastAsia="Arial" w:hAnsi="Arial"/>
          <w:sz w:val="17"/>
          <w:szCs w:val="17"/>
          <w:color w:val="auto"/>
        </w:rPr>
        <w:t xml:space="preserve">. This Agreement may be signed in counterparts, each of which shall be an original, with the same effect as if the signatures thereto and hereto were upon the same instrument. </w:t>
      </w:r>
      <w:r>
        <w:rPr>
          <w:rFonts w:ascii="Arial" w:cs="Arial" w:eastAsia="Arial" w:hAnsi="Arial"/>
          <w:sz w:val="17"/>
          <w:szCs w:val="17"/>
          <w:b w:val="1"/>
          <w:bCs w:val="1"/>
          <w:color w:val="auto"/>
        </w:rPr>
        <w:t>PLEASE NOTE</w:t>
      </w:r>
      <w:r>
        <w:rPr>
          <w:rFonts w:ascii="Arial" w:cs="Arial" w:eastAsia="Arial" w:hAnsi="Arial"/>
          <w:sz w:val="17"/>
          <w:szCs w:val="17"/>
          <w:color w:val="auto"/>
        </w:rPr>
        <w:t>: 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1"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IN WITNESS WHEREOF, the parties hereto have executed this Agreement.</w:t>
      </w:r>
    </w:p>
    <w:p>
      <w:pPr>
        <w:spacing w:after="0" w:line="23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400685</wp:posOffset>
            </wp:positionV>
            <wp:extent cx="1143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#ParticipantName#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-10160</wp:posOffset>
            </wp:positionV>
            <wp:extent cx="1143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39"/>
          </w:cols>
          <w:pgMar w:left="320" w:top="1421"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auto"/>
        </w:rPr>
        <w:t>Exhibit A: Performance-Based RSUs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Committee has designated the following peer group of public companies in the Company’s 8-digit Global Industry Classification Standard sub-industry group (the “</w:t>
      </w:r>
      <w:r>
        <w:rPr>
          <w:rFonts w:ascii="Arial" w:cs="Arial" w:eastAsia="Arial" w:hAnsi="Arial"/>
          <w:sz w:val="18"/>
          <w:szCs w:val="18"/>
          <w:u w:val="single" w:color="auto"/>
          <w:color w:val="auto"/>
        </w:rPr>
        <w:t>Peer Group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0575" cy="28460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40575" cy="284607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TSR Peer Group</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ALJ Regional Holdings, Inc.</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Fidelity National Information</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MoneyGram International, Inc.</w:t>
            </w: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Square, Inc.</w:t>
            </w:r>
          </w:p>
        </w:tc>
      </w:tr>
      <w:tr>
        <w:trPr>
          <w:trHeight w:val="230"/>
        </w:trPr>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Services, Inc.</w:t>
            </w:r>
          </w:p>
        </w:tc>
        <w:tc>
          <w:tcPr>
            <w:tcW w:w="2820" w:type="dxa"/>
            <w:vAlign w:val="bottom"/>
            <w:tcBorders>
              <w:right w:val="single" w:sz="8" w:color="auto"/>
            </w:tcBorders>
          </w:tcPr>
          <w:p>
            <w:pPr>
              <w:spacing w:after="0"/>
              <w:rPr>
                <w:sz w:val="20"/>
                <w:szCs w:val="20"/>
                <w:color w:val="auto"/>
              </w:rPr>
            </w:pPr>
          </w:p>
        </w:tc>
        <w:tc>
          <w:tcPr>
            <w:tcW w:w="2800" w:type="dxa"/>
            <w:vAlign w:val="bottom"/>
          </w:tcPr>
          <w:p>
            <w:pPr>
              <w:spacing w:after="0"/>
              <w:rPr>
                <w:sz w:val="20"/>
                <w:szCs w:val="20"/>
                <w:color w:val="auto"/>
              </w:rPr>
            </w:pP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Alliance Data Systems Corporation</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Fiserv,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 1 UEPS Technologies, Inc.</w:t>
            </w:r>
          </w:p>
        </w:tc>
        <w:tc>
          <w:tcPr>
            <w:tcW w:w="2800" w:type="dxa"/>
            <w:vAlign w:val="bottom"/>
          </w:tcPr>
          <w:p>
            <w:pPr>
              <w:ind w:left="20"/>
              <w:spacing w:after="0"/>
              <w:rPr>
                <w:sz w:val="20"/>
                <w:szCs w:val="20"/>
                <w:color w:val="auto"/>
              </w:rPr>
            </w:pPr>
            <w:r>
              <w:rPr>
                <w:rFonts w:ascii="Arial" w:cs="Arial" w:eastAsia="Arial" w:hAnsi="Arial"/>
                <w:sz w:val="18"/>
                <w:szCs w:val="18"/>
                <w:color w:val="auto"/>
              </w:rPr>
              <w:t>StarTek,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Automatic Data Processing,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FleetCor Technologies,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NIC Inc.</w:t>
            </w:r>
          </w:p>
        </w:tc>
        <w:tc>
          <w:tcPr>
            <w:tcW w:w="2800" w:type="dxa"/>
            <w:vAlign w:val="bottom"/>
          </w:tcPr>
          <w:p>
            <w:pPr>
              <w:ind w:left="20"/>
              <w:spacing w:after="0"/>
              <w:rPr>
                <w:sz w:val="20"/>
                <w:szCs w:val="20"/>
                <w:color w:val="auto"/>
              </w:rPr>
            </w:pPr>
            <w:r>
              <w:rPr>
                <w:rFonts w:ascii="Arial" w:cs="Arial" w:eastAsia="Arial" w:hAnsi="Arial"/>
                <w:sz w:val="18"/>
                <w:szCs w:val="18"/>
                <w:color w:val="auto"/>
              </w:rPr>
              <w:t>Steel Connect,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Black Knight,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Genpact Limited</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PagSeguro Digital Ltd.</w:t>
            </w:r>
          </w:p>
        </w:tc>
        <w:tc>
          <w:tcPr>
            <w:tcW w:w="2800" w:type="dxa"/>
            <w:vAlign w:val="bottom"/>
          </w:tcPr>
          <w:p>
            <w:pPr>
              <w:ind w:left="20"/>
              <w:spacing w:after="0"/>
              <w:rPr>
                <w:sz w:val="20"/>
                <w:szCs w:val="20"/>
                <w:color w:val="auto"/>
              </w:rPr>
            </w:pPr>
            <w:r>
              <w:rPr>
                <w:rFonts w:ascii="Arial" w:cs="Arial" w:eastAsia="Arial" w:hAnsi="Arial"/>
                <w:sz w:val="18"/>
                <w:szCs w:val="18"/>
                <w:color w:val="auto"/>
              </w:rPr>
              <w:t>StoneCo Ltd.</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Broadridge Financial Solutions,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Blue Group Holding AG</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Paya Holdings Inc.</w:t>
            </w:r>
          </w:p>
        </w:tc>
        <w:tc>
          <w:tcPr>
            <w:tcW w:w="2800" w:type="dxa"/>
            <w:vAlign w:val="bottom"/>
          </w:tcPr>
          <w:p>
            <w:pPr>
              <w:ind w:left="20"/>
              <w:spacing w:after="0"/>
              <w:rPr>
                <w:sz w:val="20"/>
                <w:szCs w:val="20"/>
                <w:color w:val="auto"/>
              </w:rPr>
            </w:pPr>
            <w:r>
              <w:rPr>
                <w:rFonts w:ascii="Arial" w:cs="Arial" w:eastAsia="Arial" w:hAnsi="Arial"/>
                <w:sz w:val="18"/>
                <w:szCs w:val="18"/>
                <w:color w:val="auto"/>
              </w:rPr>
              <w:t>Sykes Enterprises, Incorporated</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Cardtronics plc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Payments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Paychex, Inc.</w:t>
            </w:r>
          </w:p>
        </w:tc>
        <w:tc>
          <w:tcPr>
            <w:tcW w:w="2800" w:type="dxa"/>
            <w:vAlign w:val="bottom"/>
          </w:tcPr>
          <w:p>
            <w:pPr>
              <w:ind w:left="20"/>
              <w:spacing w:after="0"/>
              <w:rPr>
                <w:sz w:val="20"/>
                <w:szCs w:val="20"/>
                <w:color w:val="auto"/>
              </w:rPr>
            </w:pPr>
            <w:r>
              <w:rPr>
                <w:rFonts w:ascii="Arial" w:cs="Arial" w:eastAsia="Arial" w:hAnsi="Arial"/>
                <w:sz w:val="18"/>
                <w:szCs w:val="18"/>
                <w:color w:val="auto"/>
              </w:rPr>
              <w:t>The OLB Group,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Cass Information Systems,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GreenSky,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PayPal Holdings, Inc.</w:t>
            </w:r>
          </w:p>
        </w:tc>
        <w:tc>
          <w:tcPr>
            <w:tcW w:w="2800" w:type="dxa"/>
            <w:vAlign w:val="bottom"/>
          </w:tcPr>
          <w:p>
            <w:pPr>
              <w:ind w:left="20"/>
              <w:spacing w:after="0"/>
              <w:rPr>
                <w:sz w:val="20"/>
                <w:szCs w:val="20"/>
                <w:color w:val="auto"/>
              </w:rPr>
            </w:pPr>
            <w:r>
              <w:rPr>
                <w:rFonts w:ascii="Arial" w:cs="Arial" w:eastAsia="Arial" w:hAnsi="Arial"/>
                <w:sz w:val="18"/>
                <w:szCs w:val="18"/>
                <w:color w:val="auto"/>
              </w:rPr>
              <w:t>The Western Union Company</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Concentrix Corporation</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i3 Verticals,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PaySign, Inc.</w:t>
            </w:r>
          </w:p>
        </w:tc>
        <w:tc>
          <w:tcPr>
            <w:tcW w:w="2800" w:type="dxa"/>
            <w:vAlign w:val="bottom"/>
          </w:tcPr>
          <w:p>
            <w:pPr>
              <w:ind w:left="20"/>
              <w:spacing w:after="0"/>
              <w:rPr>
                <w:sz w:val="20"/>
                <w:szCs w:val="20"/>
                <w:color w:val="auto"/>
              </w:rPr>
            </w:pPr>
            <w:r>
              <w:rPr>
                <w:rFonts w:ascii="Arial" w:cs="Arial" w:eastAsia="Arial" w:hAnsi="Arial"/>
                <w:sz w:val="18"/>
                <w:szCs w:val="18"/>
                <w:color w:val="auto"/>
              </w:rPr>
              <w:t>TTEC Holdings,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Conduent Incorporated</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Innodata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PRGX Global, Inc.</w:t>
            </w:r>
          </w:p>
        </w:tc>
        <w:tc>
          <w:tcPr>
            <w:tcW w:w="2800" w:type="dxa"/>
            <w:vAlign w:val="bottom"/>
          </w:tcPr>
          <w:p>
            <w:pPr>
              <w:ind w:left="20"/>
              <w:spacing w:after="0"/>
              <w:rPr>
                <w:sz w:val="20"/>
                <w:szCs w:val="20"/>
                <w:color w:val="auto"/>
              </w:rPr>
            </w:pPr>
            <w:r>
              <w:rPr>
                <w:rFonts w:ascii="Arial" w:cs="Arial" w:eastAsia="Arial" w:hAnsi="Arial"/>
                <w:sz w:val="18"/>
                <w:szCs w:val="18"/>
                <w:color w:val="auto"/>
              </w:rPr>
              <w:t>USA Technologies,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CSG Systems International,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International Money Express,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Priority Technology Holdings, Inc.</w:t>
            </w:r>
          </w:p>
        </w:tc>
        <w:tc>
          <w:tcPr>
            <w:tcW w:w="2800" w:type="dxa"/>
            <w:vAlign w:val="bottom"/>
          </w:tcPr>
          <w:p>
            <w:pPr>
              <w:ind w:left="20"/>
              <w:spacing w:after="0"/>
              <w:rPr>
                <w:sz w:val="20"/>
                <w:szCs w:val="20"/>
                <w:color w:val="auto"/>
              </w:rPr>
            </w:pPr>
            <w:r>
              <w:rPr>
                <w:rFonts w:ascii="Arial" w:cs="Arial" w:eastAsia="Arial" w:hAnsi="Arial"/>
                <w:sz w:val="18"/>
                <w:szCs w:val="18"/>
                <w:color w:val="auto"/>
              </w:rPr>
              <w:t>Usio,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Euronet Worldwide,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Jack Henry &amp; Associates,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Qiwi plc</w:t>
            </w:r>
          </w:p>
        </w:tc>
        <w:tc>
          <w:tcPr>
            <w:tcW w:w="2800" w:type="dxa"/>
            <w:vAlign w:val="bottom"/>
          </w:tcPr>
          <w:p>
            <w:pPr>
              <w:ind w:left="20"/>
              <w:spacing w:after="0"/>
              <w:rPr>
                <w:sz w:val="20"/>
                <w:szCs w:val="20"/>
                <w:color w:val="auto"/>
              </w:rPr>
            </w:pPr>
            <w:r>
              <w:rPr>
                <w:rFonts w:ascii="Arial" w:cs="Arial" w:eastAsia="Arial" w:hAnsi="Arial"/>
                <w:sz w:val="18"/>
                <w:szCs w:val="18"/>
                <w:color w:val="auto"/>
              </w:rPr>
              <w:t>Verra Mobility Corporation</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EVERTEC,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Marathon Patent Group,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Repay Holdings Corporation</w:t>
            </w:r>
          </w:p>
        </w:tc>
        <w:tc>
          <w:tcPr>
            <w:tcW w:w="2800" w:type="dxa"/>
            <w:vAlign w:val="bottom"/>
          </w:tcPr>
          <w:p>
            <w:pPr>
              <w:ind w:left="20"/>
              <w:spacing w:after="0"/>
              <w:rPr>
                <w:sz w:val="20"/>
                <w:szCs w:val="20"/>
                <w:color w:val="auto"/>
              </w:rPr>
            </w:pPr>
            <w:r>
              <w:rPr>
                <w:rFonts w:ascii="Arial" w:cs="Arial" w:eastAsia="Arial" w:hAnsi="Arial"/>
                <w:sz w:val="18"/>
                <w:szCs w:val="18"/>
                <w:color w:val="auto"/>
              </w:rPr>
              <w:t>Visa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6"/>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EVO Payments,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Mastercard Incorporated</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Sabre Corporation</w:t>
            </w:r>
          </w:p>
        </w:tc>
        <w:tc>
          <w:tcPr>
            <w:tcW w:w="2800" w:type="dxa"/>
            <w:vAlign w:val="bottom"/>
          </w:tcPr>
          <w:p>
            <w:pPr>
              <w:ind w:left="20"/>
              <w:spacing w:after="0"/>
              <w:rPr>
                <w:sz w:val="20"/>
                <w:szCs w:val="20"/>
                <w:color w:val="auto"/>
              </w:rPr>
            </w:pPr>
            <w:r>
              <w:rPr>
                <w:rFonts w:ascii="Arial" w:cs="Arial" w:eastAsia="Arial" w:hAnsi="Arial"/>
                <w:sz w:val="18"/>
                <w:szCs w:val="18"/>
                <w:color w:val="auto"/>
              </w:rPr>
              <w:t>WEX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Exela Technologies,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MAXIMUS,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Shift4 Payments, Inc.</w:t>
            </w:r>
          </w:p>
        </w:tc>
        <w:tc>
          <w:tcPr>
            <w:tcW w:w="2800" w:type="dxa"/>
            <w:vAlign w:val="bottom"/>
          </w:tcPr>
          <w:p>
            <w:pPr>
              <w:ind w:left="20"/>
              <w:spacing w:after="0"/>
              <w:rPr>
                <w:sz w:val="20"/>
                <w:szCs w:val="20"/>
                <w:color w:val="auto"/>
              </w:rPr>
            </w:pPr>
            <w:r>
              <w:rPr>
                <w:rFonts w:ascii="Arial" w:cs="Arial" w:eastAsia="Arial" w:hAnsi="Arial"/>
                <w:sz w:val="18"/>
                <w:szCs w:val="18"/>
                <w:color w:val="auto"/>
              </w:rPr>
              <w:t>WNS (Holdings) Limited</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Company’s TSR for the TSR Performance Period will be computed and then compared to the TSR of the companies in the Peer Group. A participant shall earn [200%, 150%, 100%, 50% or 0%] of the Performance-Based RSUs, as applicable, if the Company’s TSR for the Performance Period equals or exceeds the -80th, 65th, 50th, 35th or 20th] percentile, respectively, of the Peer Group, when ranked by TSR for the TSR Performance Period. The percentage of Performance-Based RSUs earned will be determined based on straight-line interpolation to the extent the Company’s TSR falls in between the 20th and 80th percentiles, as per the chart below:</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120" w:type="dxa"/>
            <w:vAlign w:val="bottom"/>
            <w:tcBorders>
              <w:top w:val="single" w:sz="8" w:color="auto"/>
              <w:left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Target TSR Percentile</w:t>
            </w:r>
          </w:p>
        </w:tc>
        <w:tc>
          <w:tcPr>
            <w:tcW w:w="408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8"/>
                <w:szCs w:val="18"/>
                <w:b w:val="1"/>
                <w:bCs w:val="1"/>
                <w:color w:val="auto"/>
              </w:rPr>
              <w:t>Funding</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50"/>
        </w:trPr>
        <w:tc>
          <w:tcPr>
            <w:tcW w:w="4120" w:type="dxa"/>
            <w:vAlign w:val="bottom"/>
            <w:tcBorders>
              <w:left w:val="single" w:sz="8" w:color="auto"/>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Notwithstanding the foregoing, if the Company’s TSR for the TSR Performance Period is negative, the maximum percentage of Performance-Based RSUs that may be earned is 100% regardless of the Company’s actual percentile ranking relative to the peer Group. TSR shall be determined in the customary manner based on the percentage increase in a company’s stock price (taking into account assumed immediate reinvestment of dividends) from the first day of the TSR Performance Period to the last day of the TSR Performance Period. For this purpose, a company’s stock price on the applicable date will be determined as the 30 calendar day average closing stock price ending on the applicable date (or the immediately preceding trading day if the applicable date is not a trading day), except as provided in Section 3(b) in the event of a Change in Control.</w:t>
      </w:r>
    </w:p>
    <w:p>
      <w:pPr>
        <w:sectPr>
          <w:pgSz w:w="11900" w:h="16838" w:orient="portrait"/>
          <w:cols w:equalWidth="0" w:num="1">
            <w:col w:w="11260"/>
          </w:cols>
          <w:pgMar w:left="320" w:top="141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60"/>
          </w:cols>
          <w:pgMar w:left="320" w:top="1417" w:right="319" w:bottom="1440" w:gutter="0" w:footer="0" w:header="0"/>
          <w:type w:val="continuous"/>
        </w:sectPr>
      </w:pPr>
    </w:p>
    <w:bookmarkStart w:id="63" w:name="page64"/>
    <w:bookmarkEnd w:id="63"/>
    <w:p>
      <w:pPr>
        <w:ind w:firstLine="648"/>
        <w:spacing w:after="0" w:line="277" w:lineRule="auto"/>
        <w:rPr>
          <w:sz w:val="20"/>
          <w:szCs w:val="20"/>
          <w:color w:val="auto"/>
        </w:rPr>
      </w:pPr>
      <w:r>
        <w:rPr>
          <w:rFonts w:ascii="Arial" w:cs="Arial" w:eastAsia="Arial" w:hAnsi="Arial"/>
          <w:sz w:val="18"/>
          <w:szCs w:val="18"/>
          <w:color w:val="auto"/>
        </w:rPr>
        <w:t>Companies in the Peer Group that are not publicly traded on the last day of the TSR Performance Period shall not be taken into account for TSR purposes (except that any such company that goes bankrupt will be deemed to have a negative 100%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21"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auto"/>
        </w:rPr>
        <w:t>Exhibit B: Arbitration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39"/>
          </w:cols>
          <w:pgMar w:left="320" w:top="1417" w:right="1440" w:bottom="1440" w:gutter="0" w:footer="0" w:header="0"/>
        </w:sectPr>
      </w:pPr>
    </w:p>
    <w:bookmarkStart w:id="65" w:name="page66"/>
    <w:bookmarkEnd w:id="65"/>
    <w:p>
      <w:pPr>
        <w:ind w:left="10320"/>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2018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RESTRICTED STOCK UNIT AGREEMENT (International)</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RESTRICTED STOCK UNIT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made, effective as of the [__] day of [_____] (hereinafter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Date of Grant</w:t>
      </w:r>
      <w:r>
        <w:rPr>
          <w:rFonts w:ascii="Arial" w:cs="Arial" w:eastAsia="Arial" w:hAnsi="Arial"/>
          <w:sz w:val="16"/>
          <w:szCs w:val="16"/>
          <w:color w:val="auto"/>
        </w:rPr>
        <w:t>”) by and between ExlService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__#ParticipantName#_________________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adopted the ExlService Holdings, Inc. 2018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 and</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has determined that it is in the best interests of the Company and its stockholders to grant to the Participant an award of Restricted Stock Units as provided herein and subject to the terms set forth herein.</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4" w:lineRule="exact"/>
        <w:rPr>
          <w:sz w:val="20"/>
          <w:szCs w:val="20"/>
          <w:color w:val="auto"/>
        </w:rPr>
      </w:pPr>
    </w:p>
    <w:p>
      <w:pPr>
        <w:jc w:val="both"/>
        <w:ind w:firstLine="1304"/>
        <w:spacing w:after="0" w:line="257" w:lineRule="auto"/>
        <w:tabs>
          <w:tab w:leader="none" w:pos="194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Company hereby grants on the Date of Grant, to the Participant a total of [●] Restricted Stock Units (the “</w:t>
      </w:r>
      <w:r>
        <w:rPr>
          <w:rFonts w:ascii="Arial" w:cs="Arial" w:eastAsia="Arial" w:hAnsi="Arial"/>
          <w:sz w:val="18"/>
          <w:szCs w:val="18"/>
          <w:u w:val="single" w:color="auto"/>
          <w:color w:val="auto"/>
        </w:rPr>
        <w:t>Award</w:t>
      </w:r>
      <w:r>
        <w:rPr>
          <w:rFonts w:ascii="Arial" w:cs="Arial" w:eastAsia="Arial" w:hAnsi="Arial"/>
          <w:sz w:val="18"/>
          <w:szCs w:val="18"/>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18"/>
          <w:szCs w:val="18"/>
          <w:u w:val="single" w:color="auto"/>
          <w:color w:val="auto"/>
        </w:rPr>
        <w:t>Account</w:t>
      </w:r>
      <w:r>
        <w:rPr>
          <w:rFonts w:ascii="Arial" w:cs="Arial" w:eastAsia="Arial" w:hAnsi="Arial"/>
          <w:sz w:val="18"/>
          <w:szCs w:val="18"/>
          <w:color w:val="auto"/>
        </w:rPr>
        <w:t>”). On any given date, the value of each Restricted Stock Unit comprising the Award shall equal the Fair Market Value of one share of Common Stock. The Award shall vest in accordance with Section 3 hereof and settle in accordance with Section 4 hereof.</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94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94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provided herein, fifty percent (50%) of the Award shall vest based on continued employment with the Company (or its Affiliates) (the “</w:t>
      </w:r>
      <w:r>
        <w:rPr>
          <w:rFonts w:ascii="Arial" w:cs="Arial" w:eastAsia="Arial" w:hAnsi="Arial"/>
          <w:sz w:val="18"/>
          <w:szCs w:val="18"/>
          <w:u w:val="single" w:color="auto"/>
          <w:color w:val="auto"/>
        </w:rPr>
        <w:t>Time-Based RSUs</w:t>
      </w:r>
      <w:r>
        <w:rPr>
          <w:rFonts w:ascii="Arial" w:cs="Arial" w:eastAsia="Arial" w:hAnsi="Arial"/>
          <w:sz w:val="18"/>
          <w:szCs w:val="18"/>
          <w:color w:val="auto"/>
        </w:rPr>
        <w:t>”) and fifty percent (50%) of the Award shall vest based on continued employment with the Company and the achievement of specified performance criteria described herein (the “</w:t>
      </w:r>
      <w:r>
        <w:rPr>
          <w:rFonts w:ascii="Arial" w:cs="Arial" w:eastAsia="Arial" w:hAnsi="Arial"/>
          <w:sz w:val="18"/>
          <w:szCs w:val="18"/>
          <w:u w:val="single" w:color="auto"/>
          <w:color w:val="auto"/>
        </w:rPr>
        <w:t>Performance-Based RSUs</w:t>
      </w:r>
      <w:r>
        <w:rPr>
          <w:rFonts w:ascii="Arial" w:cs="Arial" w:eastAsia="Arial" w:hAnsi="Arial"/>
          <w:sz w:val="18"/>
          <w:szCs w:val="18"/>
          <w:color w:val="auto"/>
        </w:rPr>
        <w:t>”). Each day on which a portion of the Award vests in accordance with this Agreement is referred to as a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2021 RSU Equity Grants – International Top Executives</w:t>
      </w:r>
    </w:p>
    <w:p>
      <w:pPr>
        <w:sectPr>
          <w:pgSz w:w="11900" w:h="16838" w:orient="portrait"/>
          <w:cols w:equalWidth="0" w:num="1">
            <w:col w:w="11240"/>
          </w:cols>
          <w:pgMar w:left="320" w:top="121" w:right="339" w:bottom="1440" w:gutter="0" w:footer="0" w:header="0"/>
        </w:sectPr>
      </w:pPr>
    </w:p>
    <w:bookmarkStart w:id="66" w:name="page67"/>
    <w:bookmarkEnd w:id="66"/>
    <w:p>
      <w:pPr>
        <w:ind w:left="178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Time-Based RSUs.</w:t>
      </w:r>
    </w:p>
    <w:p>
      <w:pPr>
        <w:spacing w:after="0" w:line="225" w:lineRule="exact"/>
        <w:rPr>
          <w:sz w:val="20"/>
          <w:szCs w:val="20"/>
          <w:color w:val="auto"/>
        </w:rPr>
      </w:pPr>
    </w:p>
    <w:p>
      <w:pPr>
        <w:ind w:left="1300" w:firstLine="1300"/>
        <w:spacing w:after="0" w:line="308" w:lineRule="auto"/>
        <w:tabs>
          <w:tab w:leader="none" w:pos="3241"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Subject to the Participant’s continued employment with the Company through each applicable Vesting Date listed in the chart below (the “</w:t>
      </w:r>
      <w:r>
        <w:rPr>
          <w:rFonts w:ascii="Arial" w:cs="Arial" w:eastAsia="Arial" w:hAnsi="Arial"/>
          <w:sz w:val="17"/>
          <w:szCs w:val="17"/>
          <w:u w:val="single" w:color="auto"/>
          <w:color w:val="auto"/>
        </w:rPr>
        <w:t>Vesting Chart</w:t>
      </w:r>
      <w:r>
        <w:rPr>
          <w:rFonts w:ascii="Arial" w:cs="Arial" w:eastAsia="Arial" w:hAnsi="Arial"/>
          <w:sz w:val="17"/>
          <w:szCs w:val="17"/>
          <w:color w:val="auto"/>
        </w:rPr>
        <w:t>”), the Time-Based RSUs shall become vested as follows: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840" w:type="dxa"/>
            <w:vAlign w:val="bottom"/>
            <w:tcBorders>
              <w:top w:val="single" w:sz="8" w:color="auto"/>
              <w:left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Percent of Time-Based RSUs Vesting</w:t>
            </w:r>
          </w:p>
        </w:tc>
        <w:tc>
          <w:tcPr>
            <w:tcW w:w="470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color w:val="auto"/>
              </w:rPr>
              <w:t>Vesting Date</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r>
        <w:trPr>
          <w:trHeight w:val="479"/>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r>
        <w:trPr>
          <w:trHeight w:val="479"/>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r>
        <w:trPr>
          <w:trHeight w:val="480"/>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r>
        <w:trPr>
          <w:trHeight w:val="479"/>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bl>
    <w:p>
      <w:pPr>
        <w:spacing w:after="0" w:line="296" w:lineRule="exact"/>
        <w:rPr>
          <w:sz w:val="20"/>
          <w:szCs w:val="20"/>
          <w:color w:val="auto"/>
        </w:rPr>
      </w:pPr>
    </w:p>
    <w:p>
      <w:pPr>
        <w:jc w:val="both"/>
        <w:ind w:left="1300" w:firstLine="1300"/>
        <w:spacing w:after="0" w:line="255" w:lineRule="auto"/>
        <w:tabs>
          <w:tab w:leader="none" w:pos="323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Notwithstanding the foregoing, in the event that a “Change in Control” (which for purposes of this Agreement shall have the meaning set forth in the Plan as modified by the language at the end of this Section 3) occurs at a time when any portion of the Time-Based RSUs remain unvested, then effective upon the consummation of the Change in Control, the vesting of the portion of the Time-Based RSUs which is not then fully vested shall accelerate such that any portion of the Time-Based RSUs which would have become vested during the one-year period following the Change in Control shall become vested effective as of the consummation of the Change in Control.</w:t>
      </w:r>
    </w:p>
    <w:p>
      <w:pPr>
        <w:spacing w:after="0" w:line="192" w:lineRule="exact"/>
        <w:rPr>
          <w:rFonts w:ascii="Arial" w:cs="Arial" w:eastAsia="Arial" w:hAnsi="Arial"/>
          <w:sz w:val="18"/>
          <w:szCs w:val="18"/>
          <w:color w:val="auto"/>
        </w:rPr>
      </w:pPr>
    </w:p>
    <w:p>
      <w:pPr>
        <w:jc w:val="both"/>
        <w:ind w:left="1300" w:firstLine="1577"/>
        <w:spacing w:after="0" w:line="254" w:lineRule="auto"/>
        <w:tabs>
          <w:tab w:leader="none" w:pos="3182" w:val="left"/>
        </w:tabs>
        <w:numPr>
          <w:ilvl w:val="2"/>
          <w:numId w:val="36"/>
        </w:numPr>
        <w:rPr>
          <w:rFonts w:ascii="Arial" w:cs="Arial" w:eastAsia="Arial" w:hAnsi="Arial"/>
          <w:sz w:val="18"/>
          <w:szCs w:val="18"/>
          <w:color w:val="auto"/>
        </w:rPr>
      </w:pPr>
      <w:r>
        <w:rPr>
          <w:rFonts w:ascii="Arial" w:cs="Arial" w:eastAsia="Arial" w:hAnsi="Arial"/>
          <w:sz w:val="18"/>
          <w:szCs w:val="18"/>
          <w:color w:val="auto"/>
        </w:rPr>
        <w:t>In addition: (1) in the event that Participant’s employment by the Company is terminated by the Company without Cause (as defined in the Plan) (x) at any time 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Time-Based RSUs which is unvested as of the termination date.</w:t>
      </w:r>
    </w:p>
    <w:p>
      <w:pPr>
        <w:spacing w:after="0" w:line="194" w:lineRule="exact"/>
        <w:rPr>
          <w:rFonts w:ascii="Arial" w:cs="Arial" w:eastAsia="Arial" w:hAnsi="Arial"/>
          <w:sz w:val="18"/>
          <w:szCs w:val="18"/>
          <w:color w:val="auto"/>
        </w:rPr>
      </w:pPr>
    </w:p>
    <w:p>
      <w:pPr>
        <w:jc w:val="both"/>
        <w:ind w:left="1300" w:firstLine="1534"/>
        <w:spacing w:after="0" w:line="263" w:lineRule="auto"/>
        <w:tabs>
          <w:tab w:leader="none" w:pos="312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184" w:lineRule="exact"/>
        <w:rPr>
          <w:sz w:val="20"/>
          <w:szCs w:val="20"/>
          <w:color w:val="auto"/>
        </w:rPr>
      </w:pPr>
    </w:p>
    <w:p>
      <w:pPr>
        <w:jc w:val="both"/>
        <w:ind w:left="1960" w:firstLine="1849"/>
        <w:spacing w:after="0" w:line="275" w:lineRule="auto"/>
        <w:rPr>
          <w:sz w:val="20"/>
          <w:szCs w:val="20"/>
          <w:color w:val="auto"/>
        </w:rPr>
      </w:pPr>
      <w:r>
        <w:rPr>
          <w:rFonts w:ascii="Arial" w:cs="Arial" w:eastAsia="Arial" w:hAnsi="Arial"/>
          <w:sz w:val="17"/>
          <w:szCs w:val="17"/>
          <w:color w:val="auto"/>
        </w:rPr>
        <w:t>i.a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176" w:lineRule="exact"/>
        <w:rPr>
          <w:sz w:val="20"/>
          <w:szCs w:val="20"/>
          <w:color w:val="auto"/>
        </w:rPr>
      </w:pPr>
    </w:p>
    <w:p>
      <w:pPr>
        <w:jc w:val="both"/>
        <w:ind w:left="1960" w:right="20" w:firstLine="1799"/>
        <w:spacing w:after="0" w:line="263" w:lineRule="auto"/>
        <w:rPr>
          <w:sz w:val="20"/>
          <w:szCs w:val="20"/>
          <w:color w:val="auto"/>
        </w:rPr>
      </w:pPr>
      <w:r>
        <w:rPr>
          <w:rFonts w:ascii="Arial" w:cs="Arial" w:eastAsia="Arial" w:hAnsi="Arial"/>
          <w:sz w:val="18"/>
          <w:szCs w:val="18"/>
          <w:color w:val="auto"/>
        </w:rPr>
        <w:t>ii.Participant’s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67" w:name="page68"/>
    <w:bookmarkEnd w:id="67"/>
    <w:p>
      <w:pPr>
        <w:ind w:left="1740"/>
        <w:spacing w:after="0"/>
        <w:rPr>
          <w:sz w:val="20"/>
          <w:szCs w:val="20"/>
          <w:color w:val="auto"/>
        </w:rPr>
      </w:pPr>
      <w:r>
        <w:rPr>
          <w:rFonts w:ascii="Arial" w:cs="Arial" w:eastAsia="Arial" w:hAnsi="Arial"/>
          <w:sz w:val="18"/>
          <w:szCs w:val="18"/>
          <w:color w:val="auto"/>
        </w:rPr>
        <w:t>Participant’s title shall not constitute a significant reduction of Participant’s duties and authorities hereunder;</w:t>
      </w:r>
    </w:p>
    <w:p>
      <w:pPr>
        <w:spacing w:after="0" w:line="225" w:lineRule="exact"/>
        <w:rPr>
          <w:sz w:val="20"/>
          <w:szCs w:val="20"/>
          <w:color w:val="auto"/>
        </w:rPr>
      </w:pPr>
    </w:p>
    <w:p>
      <w:pPr>
        <w:ind w:left="1740" w:firstLine="1749"/>
        <w:spacing w:after="0" w:line="308" w:lineRule="auto"/>
        <w:rPr>
          <w:sz w:val="20"/>
          <w:szCs w:val="20"/>
          <w:color w:val="auto"/>
        </w:rPr>
      </w:pPr>
      <w:r>
        <w:rPr>
          <w:rFonts w:ascii="Arial" w:cs="Arial" w:eastAsia="Arial" w:hAnsi="Arial"/>
          <w:sz w:val="17"/>
          <w:szCs w:val="17"/>
          <w:color w:val="auto"/>
        </w:rPr>
        <w:t>iii.following a Change in Control, a change in the office or location where Participant is based of more than thirty (30) miles, which new location is more than thirty (30) miles from Participant’s primary residence; or</w:t>
      </w:r>
    </w:p>
    <w:p>
      <w:pPr>
        <w:spacing w:after="0" w:line="146" w:lineRule="exact"/>
        <w:rPr>
          <w:sz w:val="20"/>
          <w:szCs w:val="20"/>
          <w:color w:val="auto"/>
        </w:rPr>
      </w:pPr>
    </w:p>
    <w:p>
      <w:pPr>
        <w:ind w:left="1740" w:firstLine="1759"/>
        <w:spacing w:after="0" w:line="277" w:lineRule="auto"/>
        <w:rPr>
          <w:sz w:val="20"/>
          <w:szCs w:val="20"/>
          <w:color w:val="auto"/>
        </w:rPr>
      </w:pPr>
      <w:r>
        <w:rPr>
          <w:rFonts w:ascii="Arial" w:cs="Arial" w:eastAsia="Arial" w:hAnsi="Arial"/>
          <w:sz w:val="18"/>
          <w:szCs w:val="18"/>
          <w:color w:val="auto"/>
        </w:rPr>
        <w:t>iv.following a Change in Control, a breach by the Company of any material term of any employment, consulting, or similar agreement between the Company and Participant;</w:t>
      </w:r>
    </w:p>
    <w:p>
      <w:pPr>
        <w:spacing w:after="0" w:line="170"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187" w:lineRule="exact"/>
        <w:rPr>
          <w:sz w:val="20"/>
          <w:szCs w:val="20"/>
          <w:color w:val="auto"/>
        </w:rPr>
      </w:pPr>
    </w:p>
    <w:p>
      <w:pPr>
        <w:jc w:val="both"/>
        <w:ind w:left="1080" w:firstLine="1300"/>
        <w:spacing w:after="0" w:line="263" w:lineRule="auto"/>
        <w:tabs>
          <w:tab w:leader="none" w:pos="302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Notwithstanding the foregoing, in the event that Participant’s employment with the Company is terminated due to Participant’s death at a time when any portion of the Time-Based RSUs remain unvested, the portion of the Time-Based RSUs which is unvested shall become immediately vested effective as of the date of Participant’s death.</w:t>
      </w:r>
    </w:p>
    <w:p>
      <w:pPr>
        <w:spacing w:after="0" w:line="183" w:lineRule="exact"/>
        <w:rPr>
          <w:rFonts w:ascii="Arial" w:cs="Arial" w:eastAsia="Arial" w:hAnsi="Arial"/>
          <w:sz w:val="18"/>
          <w:szCs w:val="18"/>
          <w:color w:val="auto"/>
        </w:rPr>
      </w:pPr>
    </w:p>
    <w:p>
      <w:pPr>
        <w:jc w:val="both"/>
        <w:ind w:left="1080" w:firstLine="1300"/>
        <w:spacing w:after="0" w:line="263" w:lineRule="auto"/>
        <w:tabs>
          <w:tab w:leader="none" w:pos="302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Notwithstanding the foregoing, and assuming that such Time-Based RSUs have been outstanding for at least six (6) months from the Grant Date, in the event that Participant’s employment with Company is terminated, other than by Company for Cause,</w:t>
      </w:r>
    </w:p>
    <w:p>
      <w:pPr>
        <w:spacing w:after="0" w:line="184" w:lineRule="exact"/>
        <w:rPr>
          <w:sz w:val="20"/>
          <w:szCs w:val="20"/>
          <w:color w:val="auto"/>
        </w:rPr>
      </w:pPr>
    </w:p>
    <w:p>
      <w:pPr>
        <w:jc w:val="both"/>
        <w:ind w:left="1740" w:firstLine="1161"/>
        <w:spacing w:after="0" w:line="257" w:lineRule="auto"/>
        <w:rPr>
          <w:sz w:val="20"/>
          <w:szCs w:val="20"/>
          <w:color w:val="auto"/>
        </w:rPr>
      </w:pPr>
      <w:r>
        <w:rPr>
          <w:rFonts w:ascii="Arial" w:cs="Arial" w:eastAsia="Arial" w:hAnsi="Arial"/>
          <w:sz w:val="18"/>
          <w:szCs w:val="18"/>
          <w:color w:val="auto"/>
        </w:rPr>
        <w:t>v.after having attained age sixty (60) with ten (10) years of service with the Company (or its Affiliates) at a time when any portion of the Time-Based RSUs remain unvested, then one-hundred percent (100%) of that portion of the Participant’s Time-Based RSUs (and only that portion) that is scheduled to vest within the next twelve (12) months shall become immediately vested as of the date the Participant terminates employment, and any remaining unvested Time-Based RSUs shall be immediately forfeited; and</w:t>
      </w:r>
    </w:p>
    <w:p>
      <w:pPr>
        <w:spacing w:after="0" w:line="188" w:lineRule="exact"/>
        <w:rPr>
          <w:sz w:val="20"/>
          <w:szCs w:val="20"/>
          <w:color w:val="auto"/>
        </w:rPr>
      </w:pPr>
    </w:p>
    <w:p>
      <w:pPr>
        <w:jc w:val="both"/>
        <w:ind w:left="1740" w:firstLine="1111"/>
        <w:spacing w:after="0" w:line="259" w:lineRule="auto"/>
        <w:rPr>
          <w:sz w:val="20"/>
          <w:szCs w:val="20"/>
          <w:color w:val="auto"/>
        </w:rPr>
      </w:pPr>
      <w:r>
        <w:rPr>
          <w:rFonts w:ascii="Arial" w:cs="Arial" w:eastAsia="Arial" w:hAnsi="Arial"/>
          <w:sz w:val="18"/>
          <w:szCs w:val="18"/>
          <w:color w:val="auto"/>
        </w:rPr>
        <w:t>vi.after having attained age sixty (60) with five (5) years of service with the Company (or its Affiliates), then fifty percent (50%) of that portion of the Participant’s Time-Based RSUs (and only that portion) that is scheduled to vest within the next twelve (12) months shall become immediately vested as of the date the Participant terminates employment, and any remaining unvested Time-Based RSUs shall be immediately forfeited.</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Time-Based RSUs shall be settled in accordance with Section 4 of this Agreement.</w:t>
      </w:r>
    </w:p>
    <w:p>
      <w:pPr>
        <w:spacing w:after="0" w:line="225" w:lineRule="exact"/>
        <w:rPr>
          <w:sz w:val="20"/>
          <w:szCs w:val="20"/>
          <w:color w:val="auto"/>
        </w:rPr>
      </w:pPr>
    </w:p>
    <w:p>
      <w:pPr>
        <w:ind w:left="2380" w:hanging="648"/>
        <w:spacing w:after="0"/>
        <w:tabs>
          <w:tab w:leader="none" w:pos="23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Performance-Based RSUs.</w:t>
      </w:r>
    </w:p>
    <w:p>
      <w:pPr>
        <w:spacing w:after="0" w:line="225" w:lineRule="exact"/>
        <w:rPr>
          <w:rFonts w:ascii="Arial" w:cs="Arial" w:eastAsia="Arial" w:hAnsi="Arial"/>
          <w:sz w:val="18"/>
          <w:szCs w:val="18"/>
          <w:color w:val="auto"/>
        </w:rPr>
      </w:pPr>
    </w:p>
    <w:p>
      <w:pPr>
        <w:jc w:val="both"/>
        <w:ind w:left="1080" w:firstLine="1300"/>
        <w:spacing w:after="0" w:line="259" w:lineRule="auto"/>
        <w:tabs>
          <w:tab w:leader="none" w:pos="302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Except as otherwise provided herein, the Performance-Based RSUs shall cliff vest on [_____], based on continuous service with the Company through such Vesting Date and the achievement of relative total stockholder return (“</w:t>
      </w:r>
      <w:r>
        <w:rPr>
          <w:rFonts w:ascii="Arial" w:cs="Arial" w:eastAsia="Arial" w:hAnsi="Arial"/>
          <w:sz w:val="18"/>
          <w:szCs w:val="18"/>
          <w:u w:val="single" w:color="auto"/>
          <w:color w:val="auto"/>
        </w:rPr>
        <w:t>TSR</w:t>
      </w:r>
      <w:r>
        <w:rPr>
          <w:rFonts w:ascii="Arial" w:cs="Arial" w:eastAsia="Arial" w:hAnsi="Arial"/>
          <w:sz w:val="18"/>
          <w:szCs w:val="18"/>
          <w:color w:val="auto"/>
        </w:rPr>
        <w:t xml:space="preserve">”) performance of the Company against the Peer Group (as defined on </w:t>
      </w:r>
      <w:r>
        <w:rPr>
          <w:rFonts w:ascii="Arial" w:cs="Arial" w:eastAsia="Arial" w:hAnsi="Arial"/>
          <w:sz w:val="18"/>
          <w:szCs w:val="18"/>
          <w:u w:val="single" w:color="auto"/>
          <w:color w:val="auto"/>
        </w:rPr>
        <w:t>Exhibit A</w:t>
      </w:r>
      <w:r>
        <w:rPr>
          <w:rFonts w:ascii="Arial" w:cs="Arial" w:eastAsia="Arial" w:hAnsi="Arial"/>
          <w:sz w:val="18"/>
          <w:szCs w:val="18"/>
          <w:color w:val="auto"/>
        </w:rPr>
        <w:t>) over the period from [_____] through [_____] (the “</w:t>
      </w:r>
      <w:r>
        <w:rPr>
          <w:rFonts w:ascii="Arial" w:cs="Arial" w:eastAsia="Arial" w:hAnsi="Arial"/>
          <w:sz w:val="18"/>
          <w:szCs w:val="18"/>
          <w:u w:val="single" w:color="auto"/>
          <w:color w:val="auto"/>
        </w:rPr>
        <w:t>TSR Performance Period</w:t>
      </w:r>
      <w:r>
        <w:rPr>
          <w:rFonts w:ascii="Arial" w:cs="Arial" w:eastAsia="Arial" w:hAnsi="Arial"/>
          <w:sz w:val="18"/>
          <w:szCs w:val="18"/>
          <w:color w:val="auto"/>
        </w:rPr>
        <w:t xml:space="preserv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3020" w:hanging="640"/>
        <w:spacing w:after="0"/>
        <w:tabs>
          <w:tab w:leader="none" w:pos="30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Notwithstanding the foregoing:</w:t>
      </w:r>
    </w:p>
    <w:p>
      <w:pPr>
        <w:spacing w:after="0" w:line="225" w:lineRule="exact"/>
        <w:rPr>
          <w:rFonts w:ascii="Arial" w:cs="Arial" w:eastAsia="Arial" w:hAnsi="Arial"/>
          <w:sz w:val="18"/>
          <w:szCs w:val="18"/>
          <w:color w:val="auto"/>
        </w:rPr>
      </w:pPr>
    </w:p>
    <w:p>
      <w:pPr>
        <w:ind w:left="1080" w:firstLine="1565"/>
        <w:spacing w:after="0" w:line="277" w:lineRule="auto"/>
        <w:tabs>
          <w:tab w:leader="none" w:pos="3155"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the event that a Change in Control occurs on or before the first anniversary of the Date of Grant, one hundred percent (100%) of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540" w:top="1421" w:right="339" w:bottom="1440" w:gutter="0" w:footer="0" w:header="0"/>
        </w:sectPr>
      </w:pPr>
    </w:p>
    <w:bookmarkStart w:id="68" w:name="page69"/>
    <w:bookmarkEnd w:id="68"/>
    <w:p>
      <w:pPr>
        <w:jc w:val="both"/>
        <w:ind w:left="1300"/>
        <w:spacing w:after="0" w:line="271" w:lineRule="auto"/>
        <w:rPr>
          <w:sz w:val="20"/>
          <w:szCs w:val="20"/>
          <w:color w:val="auto"/>
        </w:rPr>
      </w:pPr>
      <w:r>
        <w:rPr>
          <w:rFonts w:ascii="Arial" w:cs="Arial" w:eastAsia="Arial" w:hAnsi="Arial"/>
          <w:sz w:val="17"/>
          <w:szCs w:val="17"/>
          <w:color w:val="auto"/>
        </w:rPr>
        <w:t xml:space="preserve">Based RSUs will be deemed earned. For the avoidance of doubt, in such event, the Participant will be unable to earn any additional Performance-Based RSUs. In the event that a Change in Control occurs after the first anniversary of the Date of Grant, then (i) the TSR Performance Period shall be deemed to end on the date of the Change in Control, and the Committee shall determine the TSR of the Company and the Peer Group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of such date, and shall determine the number of Performance-Based RSUs earned by the Participant; and (ii) for purposes of determination of the Company’s TSR for the TSR Performance Period, the Company’s stock price shall be equal to the consideration paid per share of the Company’s common stock in the Change in Control transaction, as determined by the Committee (and shall not be equal to the 30-day average of the Company’s stock price on the last day of the TSR Performance Period,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8" w:lineRule="exact"/>
        <w:rPr>
          <w:sz w:val="20"/>
          <w:szCs w:val="20"/>
          <w:color w:val="auto"/>
        </w:rPr>
      </w:pPr>
    </w:p>
    <w:p>
      <w:pPr>
        <w:ind w:left="3220" w:hanging="428"/>
        <w:spacing w:after="0"/>
        <w:tabs>
          <w:tab w:leader="none" w:pos="32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Performance-Based RSUs deemed earned in accordance with the foregoing provisions of this Section 3(b)</w:t>
      </w:r>
    </w:p>
    <w:p>
      <w:pPr>
        <w:spacing w:after="0" w:line="46" w:lineRule="exact"/>
        <w:rPr>
          <w:rFonts w:ascii="Arial" w:cs="Arial" w:eastAsia="Arial" w:hAnsi="Arial"/>
          <w:sz w:val="16"/>
          <w:szCs w:val="16"/>
          <w:color w:val="auto"/>
        </w:rPr>
      </w:pPr>
    </w:p>
    <w:p>
      <w:pPr>
        <w:jc w:val="both"/>
        <w:ind w:left="1300" w:firstLine="4"/>
        <w:spacing w:after="0" w:line="253" w:lineRule="auto"/>
        <w:tabs>
          <w:tab w:leader="none" w:pos="15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be treated as immediately vested in accordance with the schedule set forth in the special Change in Control vesting chart below (the “</w:t>
      </w:r>
      <w:r>
        <w:rPr>
          <w:rFonts w:ascii="Arial" w:cs="Arial" w:eastAsia="Arial" w:hAnsi="Arial"/>
          <w:sz w:val="18"/>
          <w:szCs w:val="18"/>
          <w:u w:val="single" w:color="auto"/>
          <w:color w:val="auto"/>
        </w:rPr>
        <w:t>Special CIC Vesting Chart</w:t>
      </w:r>
      <w:r>
        <w:rPr>
          <w:rFonts w:ascii="Arial" w:cs="Arial" w:eastAsia="Arial" w:hAnsi="Arial"/>
          <w:sz w:val="18"/>
          <w:szCs w:val="18"/>
          <w:color w:val="auto"/>
        </w:rPr>
        <w:t>”) as well as additional vesting based on the methodology set forth in Section 3(a)(ii)(A), subject to the Participant’s continuous employment with the Company or an Affiliate through the consummation of the Change in Control, assuming for such purpose that such deemed earned Performance-Based RSUs had originally been subject only to time-based vesting, as set forth in the Special CIC Vesting Chart.</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84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2"/>
              </w:rPr>
              <w:t>Vested Percent of Deemed Earned Performance-Based RSUs</w:t>
            </w:r>
          </w:p>
        </w:tc>
        <w:tc>
          <w:tcPr>
            <w:tcW w:w="470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color w:val="auto"/>
              </w:rPr>
              <w:t>Vesting Date</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r>
        <w:trPr>
          <w:trHeight w:val="318"/>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r>
        <w:trPr>
          <w:trHeight w:val="318"/>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r>
        <w:trPr>
          <w:trHeight w:val="318"/>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1300"/>
        <w:spacing w:after="0" w:line="283" w:lineRule="auto"/>
        <w:rPr>
          <w:sz w:val="20"/>
          <w:szCs w:val="20"/>
          <w:color w:val="auto"/>
        </w:rPr>
      </w:pPr>
      <w:r>
        <w:rPr>
          <w:rFonts w:ascii="Arial" w:cs="Arial" w:eastAsia="Arial" w:hAnsi="Arial"/>
          <w:sz w:val="16"/>
          <w:szCs w:val="16"/>
          <w:color w:val="auto"/>
        </w:rPr>
        <w:t>Accordingly, for example, the Special CIC Vesting Chart and the methodology of Section 3(a)(ii)(A) shall be applied effective as of the consummation of the Change in Control so that: (x) to the extent that any of the Vesting Dates set forth in the Special CIC Vesting Chart occurred prior to the date of the occurrence of the Change in Control, then a portion (as set forth in such chart) of such deemed earned Performance-Based RSUs shall be immediately vested effective upon the consummation of the Change in Control; and (y) after taking into account any accelerated vesting pursuant to the immediately preceding clause (x), effective upon the consummation of the Change in Control, the vesting of the portion of such deemed earned Performance-Based RSUs that are not then fully vested shall accelerate such that any portion of those deemed earned Performance-Based RSUs which would have become vested during the one-year period following the Change in Control (based on the application of the Special CIC Vesting Chart to such Performance-Based RSUs), shall become vested effective as of the consummation of the Change in Control. The remaining portion of the deemed earned Performance-Based RSUs shall cliff vest on [_____], subject to the Participant’s continuous employment with the Company or an Affiliate through</w:t>
      </w:r>
    </w:p>
    <w:p>
      <w:pPr>
        <w:spacing w:after="0" w:line="5" w:lineRule="exact"/>
        <w:rPr>
          <w:sz w:val="20"/>
          <w:szCs w:val="20"/>
          <w:color w:val="auto"/>
        </w:rPr>
      </w:pPr>
    </w:p>
    <w:p>
      <w:pPr>
        <w:jc w:val="both"/>
        <w:ind w:left="1300"/>
        <w:spacing w:after="0" w:line="252" w:lineRule="auto"/>
        <w:rPr>
          <w:sz w:val="20"/>
          <w:szCs w:val="20"/>
          <w:color w:val="auto"/>
        </w:rPr>
      </w:pPr>
      <w:r>
        <w:rPr>
          <w:rFonts w:ascii="Arial" w:cs="Arial" w:eastAsia="Arial" w:hAnsi="Arial"/>
          <w:sz w:val="18"/>
          <w:szCs w:val="18"/>
          <w:color w:val="auto"/>
        </w:rPr>
        <w:t>such date; provided that (1) in the event that Participant’s employment by the Company is terminated by the Company without Cause (x) at any time following a Change in Control or (y) in specific contemplation of a Change in Control or (2) in the event Participant resigns with Good Reason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the remaining portion of the deemed earned Performance-Based RSUs which is unvested as of the termination date.</w:t>
      </w:r>
    </w:p>
    <w:p>
      <w:pPr>
        <w:spacing w:after="0" w:line="192" w:lineRule="exact"/>
        <w:rPr>
          <w:sz w:val="20"/>
          <w:szCs w:val="20"/>
          <w:color w:val="auto"/>
        </w:rPr>
      </w:pPr>
    </w:p>
    <w:p>
      <w:pPr>
        <w:ind w:left="3240" w:hanging="640"/>
        <w:spacing w:after="0"/>
        <w:tabs>
          <w:tab w:leader="none" w:pos="32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1" w:right="339" w:bottom="1440" w:gutter="0" w:footer="0" w:header="0"/>
        </w:sectPr>
      </w:pPr>
    </w:p>
    <w:bookmarkStart w:id="69" w:name="page70"/>
    <w:bookmarkEnd w:id="69"/>
    <w:p>
      <w:pPr>
        <w:jc w:val="both"/>
        <w:ind w:left="1160" w:firstLine="1868"/>
        <w:spacing w:after="0" w:line="301" w:lineRule="auto"/>
        <w:tabs>
          <w:tab w:leader="none" w:pos="3534"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Prior to a Change in Control</w:t>
      </w:r>
      <w:r>
        <w:rPr>
          <w:rFonts w:ascii="Arial" w:cs="Arial" w:eastAsia="Arial" w:hAnsi="Arial"/>
          <w:sz w:val="16"/>
          <w:szCs w:val="16"/>
          <w:color w:val="auto"/>
        </w:rPr>
        <w:t>. In the event that no Change in Control has occurred and Participant’s employment with the Company is terminated due to Participant’s death prior to [_____], Participant shall become immediately vested in a number of Performance-Based RSUs equal to (x) the number of completed full months from [_____] to the date of Participant’s death divided by (y) 36 multiplied by (z) 100% of the Performance-Based RSUs, effective as of the date of Participant’s death.</w:t>
      </w:r>
    </w:p>
    <w:p>
      <w:pPr>
        <w:spacing w:after="0" w:line="157" w:lineRule="exact"/>
        <w:rPr>
          <w:rFonts w:ascii="Arial" w:cs="Arial" w:eastAsia="Arial" w:hAnsi="Arial"/>
          <w:sz w:val="16"/>
          <w:szCs w:val="16"/>
          <w:color w:val="auto"/>
        </w:rPr>
      </w:pPr>
    </w:p>
    <w:p>
      <w:pPr>
        <w:jc w:val="both"/>
        <w:ind w:left="1160" w:firstLine="1868"/>
        <w:spacing w:after="0" w:line="259" w:lineRule="auto"/>
        <w:tabs>
          <w:tab w:leader="none" w:pos="3483"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After a Change in Control</w:t>
      </w:r>
      <w:r>
        <w:rPr>
          <w:rFonts w:ascii="Arial" w:cs="Arial" w:eastAsia="Arial" w:hAnsi="Arial"/>
          <w:sz w:val="18"/>
          <w:szCs w:val="18"/>
          <w:color w:val="auto"/>
        </w:rPr>
        <w:t>. In the event that Participant’s employment with the Company is terminated due to Participant’s death prior to [____] but after a Change in Control has occurred, Participant shall become immediately vested in 100% of the Performance-Based RSUs that were deemed earned as a result of the Change in Control pursuant to Sections 3(b)(ii)(A) and 3(b)(ii)(B) above, effective as of the date of Participant’s death.</w:t>
      </w:r>
    </w:p>
    <w:p>
      <w:pPr>
        <w:spacing w:after="0" w:line="186" w:lineRule="exact"/>
        <w:rPr>
          <w:rFonts w:ascii="Arial" w:cs="Arial" w:eastAsia="Arial" w:hAnsi="Arial"/>
          <w:sz w:val="18"/>
          <w:szCs w:val="18"/>
          <w:color w:val="auto"/>
        </w:rPr>
      </w:pPr>
    </w:p>
    <w:p>
      <w:pPr>
        <w:jc w:val="both"/>
        <w:ind w:left="1080" w:firstLine="1300"/>
        <w:spacing w:after="0" w:line="263" w:lineRule="auto"/>
        <w:tabs>
          <w:tab w:leader="none" w:pos="302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Notwithstanding the foregoing, and assuming that such Performance-Based RSUs have been outstanding for at least six (6) months from the Grant Date, in the event that Participant’s employment with Company is terminated, other than by Company for Cause,</w:t>
      </w:r>
    </w:p>
    <w:p>
      <w:pPr>
        <w:spacing w:after="0" w:line="184" w:lineRule="exact"/>
        <w:rPr>
          <w:sz w:val="20"/>
          <w:szCs w:val="20"/>
          <w:color w:val="auto"/>
        </w:rPr>
      </w:pPr>
    </w:p>
    <w:p>
      <w:pPr>
        <w:jc w:val="both"/>
        <w:ind w:left="1740" w:firstLine="1061"/>
        <w:spacing w:after="0" w:line="291" w:lineRule="auto"/>
        <w:rPr>
          <w:sz w:val="20"/>
          <w:szCs w:val="20"/>
          <w:color w:val="auto"/>
        </w:rPr>
      </w:pPr>
      <w:r>
        <w:rPr>
          <w:rFonts w:ascii="Arial" w:cs="Arial" w:eastAsia="Arial" w:hAnsi="Arial"/>
          <w:sz w:val="16"/>
          <w:szCs w:val="16"/>
          <w:color w:val="auto"/>
        </w:rPr>
        <w:t>vii.after having attained age sixty (60) with ten (10) years of service with the Company (or its Affiliates) prior to [______], the Vesting Date for the Performance-Based RSUs, Participant shall earn a pro rata portion of the Performance-Based</w:t>
      </w:r>
    </w:p>
    <w:p>
      <w:pPr>
        <w:jc w:val="both"/>
        <w:ind w:left="1740" w:right="20"/>
        <w:spacing w:after="0" w:line="260" w:lineRule="auto"/>
        <w:rPr>
          <w:sz w:val="20"/>
          <w:szCs w:val="20"/>
          <w:color w:val="auto"/>
        </w:rPr>
      </w:pPr>
      <w:r>
        <w:rPr>
          <w:rFonts w:ascii="Arial" w:cs="Arial" w:eastAsia="Arial" w:hAnsi="Arial"/>
          <w:sz w:val="18"/>
          <w:szCs w:val="18"/>
          <w:color w:val="auto"/>
        </w:rPr>
        <w:t>RSUs based on actual Company performance (with respect to the TSR performance goals) at the end of the performance period, as determined by the Committee.</w:t>
      </w:r>
    </w:p>
    <w:p>
      <w:pPr>
        <w:spacing w:after="0" w:line="185" w:lineRule="exact"/>
        <w:rPr>
          <w:sz w:val="20"/>
          <w:szCs w:val="20"/>
          <w:color w:val="auto"/>
        </w:rPr>
      </w:pPr>
    </w:p>
    <w:p>
      <w:pPr>
        <w:jc w:val="both"/>
        <w:ind w:left="1740"/>
        <w:spacing w:after="0" w:line="301" w:lineRule="auto"/>
        <w:rPr>
          <w:sz w:val="20"/>
          <w:szCs w:val="20"/>
          <w:color w:val="auto"/>
        </w:rPr>
      </w:pPr>
      <w:r>
        <w:rPr>
          <w:rFonts w:ascii="Arial" w:cs="Arial" w:eastAsia="Arial" w:hAnsi="Arial"/>
          <w:sz w:val="16"/>
          <w:szCs w:val="16"/>
          <w:color w:val="auto"/>
        </w:rPr>
        <w:t>Such proration shall be determined as follows: the number of Performance-Based RSUs (rounded to the nearest whole number) that have been deemed earned by the Committee shall vest based on the product of the total number of Performance-Based RSUs granted on the Grant Date multiplied by the quotient of (x) divided by (y), where (x) equals the total number of years of service completed by Participant from the Grant Date (rounding up the number of years of service) and (y) equals three (3);</w:t>
      </w:r>
    </w:p>
    <w:p>
      <w:pPr>
        <w:spacing w:after="0" w:line="157" w:lineRule="exact"/>
        <w:rPr>
          <w:sz w:val="20"/>
          <w:szCs w:val="20"/>
          <w:color w:val="auto"/>
        </w:rPr>
      </w:pPr>
    </w:p>
    <w:p>
      <w:pPr>
        <w:jc w:val="both"/>
        <w:ind w:left="1740" w:firstLine="1011"/>
        <w:spacing w:after="0" w:line="274" w:lineRule="auto"/>
        <w:rPr>
          <w:sz w:val="20"/>
          <w:szCs w:val="20"/>
          <w:color w:val="auto"/>
        </w:rPr>
      </w:pPr>
      <w:r>
        <w:rPr>
          <w:rFonts w:ascii="Arial" w:cs="Arial" w:eastAsia="Arial" w:hAnsi="Arial"/>
          <w:sz w:val="17"/>
          <w:szCs w:val="17"/>
          <w:color w:val="auto"/>
        </w:rPr>
        <w:t>viii.after having attained age sixty (60) with only five (5) years of service with the Company (or its Affiliates) prior to [______], the Vesting Date for the Performance-Based RSUs, the Participant shall earn a pro rata portion of the</w:t>
      </w:r>
    </w:p>
    <w:p>
      <w:pPr>
        <w:jc w:val="both"/>
        <w:ind w:left="1740"/>
        <w:spacing w:after="0" w:line="260" w:lineRule="auto"/>
        <w:rPr>
          <w:sz w:val="20"/>
          <w:szCs w:val="20"/>
          <w:color w:val="auto"/>
        </w:rPr>
      </w:pPr>
      <w:r>
        <w:rPr>
          <w:rFonts w:ascii="Arial" w:cs="Arial" w:eastAsia="Arial" w:hAnsi="Arial"/>
          <w:sz w:val="18"/>
          <w:szCs w:val="18"/>
          <w:color w:val="auto"/>
        </w:rPr>
        <w:t>Performance-Based RSUs calculated in accordance with the methodology outlined in subsection 3(b)(v)(A) immediately above, provided that such amount shall be reduced by fifty-percent (50%).</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Any Performance-Based RSUs shall be settled in accordance with Section 4 of this Agreement after the end of the performance period.</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determination of any prorated Performance-Based RSU shall be made by the Committee in its sole discretion.</w:t>
      </w:r>
    </w:p>
    <w:p>
      <w:pPr>
        <w:spacing w:after="0" w:line="211" w:lineRule="exact"/>
        <w:rPr>
          <w:sz w:val="20"/>
          <w:szCs w:val="20"/>
          <w:color w:val="auto"/>
        </w:rPr>
      </w:pPr>
    </w:p>
    <w:p>
      <w:pPr>
        <w:jc w:val="both"/>
        <w:ind w:left="-220" w:firstLine="1952"/>
        <w:spacing w:after="0" w:line="279" w:lineRule="auto"/>
        <w:tabs>
          <w:tab w:leader="none" w:pos="2372"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Special 409A Rule.</w:t>
      </w:r>
      <w:r>
        <w:rPr>
          <w:rFonts w:ascii="Arial" w:cs="Arial" w:eastAsia="Arial" w:hAnsi="Arial"/>
          <w:sz w:val="17"/>
          <w:szCs w:val="17"/>
          <w:color w:val="auto"/>
        </w:rPr>
        <w:t xml:space="preserve"> Notwithstanding anything to the contrary in this Section 3,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171" w:lineRule="exact"/>
        <w:rPr>
          <w:rFonts w:ascii="Arial" w:cs="Arial" w:eastAsia="Arial" w:hAnsi="Arial"/>
          <w:sz w:val="17"/>
          <w:szCs w:val="17"/>
          <w:color w:val="auto"/>
        </w:rPr>
      </w:pPr>
    </w:p>
    <w:p>
      <w:pPr>
        <w:ind w:left="1740" w:hanging="656"/>
        <w:spacing w:after="0"/>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20" w:firstLine="1952"/>
        <w:spacing w:after="0" w:line="259" w:lineRule="auto"/>
        <w:tabs>
          <w:tab w:leader="none" w:pos="2372"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As soon as practicable following each applicable Vesting Date (including as applicable the date of consummation of a Change in Control and certain terminations of employment upon or following a Change in Control, as applicable),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8"/>
          <w:szCs w:val="18"/>
          <w:u w:val="single" w:color="auto"/>
          <w:color w:val="auto"/>
        </w:rPr>
        <w:t>RSU Shares</w:t>
      </w:r>
      <w:r>
        <w:rPr>
          <w:rFonts w:ascii="Arial" w:cs="Arial" w:eastAsia="Arial" w:hAnsi="Arial"/>
          <w:sz w:val="18"/>
          <w:szCs w:val="18"/>
          <w:color w:val="auto"/>
        </w:rPr>
        <w: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20"/>
          </w:cols>
          <w:pgMar w:left="540" w:top="1421" w:right="339" w:bottom="1440" w:gutter="0" w:footer="0" w:header="0"/>
        </w:sectPr>
      </w:pPr>
    </w:p>
    <w:bookmarkStart w:id="70" w:name="page71"/>
    <w:bookmarkEnd w:id="70"/>
    <w:p>
      <w:pPr>
        <w:jc w:val="both"/>
        <w:spacing w:after="0" w:line="287" w:lineRule="auto"/>
        <w:rPr>
          <w:sz w:val="20"/>
          <w:szCs w:val="20"/>
          <w:color w:val="auto"/>
        </w:rPr>
      </w:pPr>
      <w:r>
        <w:rPr>
          <w:rFonts w:ascii="Arial" w:cs="Arial" w:eastAsia="Arial" w:hAnsi="Arial"/>
          <w:sz w:val="16"/>
          <w:szCs w:val="16"/>
          <w:color w:val="auto"/>
        </w:rPr>
        <w:t>any fractional shares paid out in cash (and, upon such settlement, the Restricted Stock Units shall cease to be credited to the Account) and (ii) enter the Participant’s name as a stockholder of record with respect to the RSU Shares on the books of the Company. The Committee shall make all determinations with respect to the Performance-Based RSUs as soon as administratively practicable after [______] (or as of the Change in Control, as applicable) such that</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settlement of the earned and vested Performance-Based RSUs shall be made within the applicable short-term deferral period for purposes of Section 409A of the Code.</w:t>
      </w:r>
    </w:p>
    <w:p>
      <w:pPr>
        <w:spacing w:after="0" w:line="185" w:lineRule="exact"/>
        <w:rPr>
          <w:sz w:val="20"/>
          <w:szCs w:val="20"/>
          <w:color w:val="auto"/>
        </w:rPr>
      </w:pPr>
    </w:p>
    <w:p>
      <w:pPr>
        <w:jc w:val="both"/>
        <w:ind w:firstLine="1952"/>
        <w:spacing w:after="0" w:line="254" w:lineRule="auto"/>
        <w:tabs>
          <w:tab w:leader="none" w:pos="259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If on any date that Restricted Stock Units remain credited to the Account, dividends are paid by the Company on outstanding shares of its Common Stock (“</w:t>
      </w:r>
      <w:r>
        <w:rPr>
          <w:rFonts w:ascii="Arial" w:cs="Arial" w:eastAsia="Arial" w:hAnsi="Arial"/>
          <w:sz w:val="18"/>
          <w:szCs w:val="18"/>
          <w:u w:val="single" w:color="auto"/>
          <w:color w:val="auto"/>
        </w:rPr>
        <w:t>Shares</w:t>
      </w:r>
      <w:r>
        <w:rPr>
          <w:rFonts w:ascii="Arial" w:cs="Arial" w:eastAsia="Arial" w:hAnsi="Arial"/>
          <w:sz w:val="18"/>
          <w:szCs w:val="18"/>
          <w:color w:val="auto"/>
        </w:rPr>
        <w:t>”) (each, a “</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then the Participant's Account shall, as of each such Dividend Payment Date, be credited with an amount (each such amount, a “</w:t>
      </w:r>
      <w:r>
        <w:rPr>
          <w:rFonts w:ascii="Arial" w:cs="Arial" w:eastAsia="Arial" w:hAnsi="Arial"/>
          <w:sz w:val="18"/>
          <w:szCs w:val="18"/>
          <w:u w:val="single" w:color="auto"/>
          <w:color w:val="auto"/>
        </w:rPr>
        <w:t>Dividend Equivalent Amount</w:t>
      </w:r>
      <w:r>
        <w:rPr>
          <w:rFonts w:ascii="Arial" w:cs="Arial" w:eastAsia="Arial" w:hAnsi="Arial"/>
          <w:sz w:val="18"/>
          <w:szCs w:val="18"/>
          <w:color w:val="auto"/>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spacing w:after="0" w:line="191" w:lineRule="exact"/>
        <w:rPr>
          <w:rFonts w:ascii="Arial" w:cs="Arial" w:eastAsia="Arial" w:hAnsi="Arial"/>
          <w:sz w:val="18"/>
          <w:szCs w:val="18"/>
          <w:color w:val="auto"/>
        </w:rPr>
      </w:pPr>
    </w:p>
    <w:p>
      <w:pPr>
        <w:jc w:val="both"/>
        <w:ind w:firstLine="1952"/>
        <w:spacing w:after="0" w:line="268" w:lineRule="auto"/>
        <w:tabs>
          <w:tab w:leader="none" w:pos="2592"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Taxes and Withholding</w:t>
      </w:r>
      <w:r>
        <w:rPr>
          <w:rFonts w:ascii="Arial" w:cs="Arial" w:eastAsia="Arial" w:hAnsi="Arial"/>
          <w:sz w:val="17"/>
          <w:szCs w:val="17"/>
          <w:color w:val="auto"/>
        </w:rPr>
        <w:t>. Regardless of any action the Company or the Participant’s employer (the “</w:t>
      </w:r>
      <w:r>
        <w:rPr>
          <w:rFonts w:ascii="Arial" w:cs="Arial" w:eastAsia="Arial" w:hAnsi="Arial"/>
          <w:sz w:val="17"/>
          <w:szCs w:val="17"/>
          <w:u w:val="single" w:color="auto"/>
          <w:color w:val="auto"/>
        </w:rPr>
        <w:t>Employer</w:t>
      </w:r>
      <w:r>
        <w:rPr>
          <w:rFonts w:ascii="Arial" w:cs="Arial" w:eastAsia="Arial" w:hAnsi="Arial"/>
          <w:sz w:val="17"/>
          <w:szCs w:val="17"/>
          <w:color w:val="auto"/>
        </w:rPr>
        <w:t>”) takes with respect to any or all income tax, social insurance, payroll tax, payment on account or other tax-related items related to the Participant’s participation in the Plan and legally applicable to the Participant or deemed by the Company or the Employer to be an appropriate charge to the Participant even if technically due by the Company or the Employer (“</w:t>
      </w:r>
      <w:r>
        <w:rPr>
          <w:rFonts w:ascii="Arial" w:cs="Arial" w:eastAsia="Arial" w:hAnsi="Arial"/>
          <w:sz w:val="17"/>
          <w:szCs w:val="17"/>
          <w:u w:val="single" w:color="auto"/>
          <w:color w:val="auto"/>
        </w:rPr>
        <w:t>Tax-Related Items</w:t>
      </w:r>
      <w:r>
        <w:rPr>
          <w:rFonts w:ascii="Arial" w:cs="Arial" w:eastAsia="Arial" w:hAnsi="Arial"/>
          <w:sz w:val="17"/>
          <w:szCs w:val="17"/>
          <w:color w:val="auto"/>
        </w:rPr>
        <w:t>”), the Participant acknowledges that the ultimate liability for all Tax-Related Items is and remains the Participant’s responsibility and may exceed the amount actually withheld by the Company or the Employer. The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Units, the issuance of RSU Shares upon vesting/settlement of the Restricted Stock Units, the subsequent sale of RSU Shares acquired pursuant to such issuance and the receipt of any dividends and/or any dividend equivalents; and (2) do not commit to and are under no obligation to structure the terms of the grant or any aspect of the Restricted Stock Units to reduce or eliminate the Participant’s liability for Tax-Related Items or achieve any particular tax result. Further, if the Participant has become subject to tax in more than one jurisdiction between the date of grant and the date of any relevant taxable event, the Participant acknowledges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the settlement of the Award in accordance with Section 4(a) hereof in RSU Shares, the Participant shall be required, as a condition of such settlement, to pay to the Company by check or wire transfer the amount of any income, payroll, or social tax withholding that the Company determines is required; provided that the Participant may elect to satisfy such tax withholding obligation by having the Company withhold from the settlement that number of RSU Shares having a Fair Market Value equal to the amount of such withholding. To avoid negative accounting treatment, the Company may withhold or account for Tax-Related Items by considering applicable minimum statutory withholding amounts or other applicable withholding rates. If the obligation for Tax-Related Items is satisfied by withholding in RSU Shares, for tax purposes, the Participant is deemed to have been issued the full number of Shares subject to the vested Restricted Stock Units, notwithstanding that a number of the RSU Shares are held back solely for the purpose of paying the Tax-Related Items due as a result of any aspect of the Participant’s participation in the Plan.</w:t>
      </w:r>
    </w:p>
    <w:p>
      <w:pPr>
        <w:spacing w:after="0" w:line="178" w:lineRule="exact"/>
        <w:rPr>
          <w:sz w:val="20"/>
          <w:szCs w:val="20"/>
          <w:color w:val="auto"/>
        </w:rPr>
      </w:pPr>
    </w:p>
    <w:p>
      <w:pPr>
        <w:jc w:val="both"/>
        <w:ind w:firstLine="1952"/>
        <w:spacing w:after="0" w:line="259" w:lineRule="auto"/>
        <w:tabs>
          <w:tab w:leader="none" w:pos="259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 Except as otherwise provided in the Plan, or as set forth in any employment, consulting or other agreement between the Company or an Affiliate and the Participant in effect on the date hereof, if the Participant’s employment with the Company terminates prior to any Vesting Date for any reason, all remaining Restricted Stock Units credited to the Account shall be forfeited without further consideration to the Participant.</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59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1" w:right="339" w:bottom="1440" w:gutter="0" w:footer="0" w:header="0"/>
        </w:sectPr>
      </w:pPr>
    </w:p>
    <w:bookmarkStart w:id="71" w:name="page72"/>
    <w:bookmarkEnd w:id="71"/>
    <w:p>
      <w:pPr>
        <w:spacing w:after="0" w:line="277" w:lineRule="auto"/>
        <w:rPr>
          <w:sz w:val="20"/>
          <w:szCs w:val="20"/>
          <w:color w:val="auto"/>
        </w:rPr>
      </w:pPr>
      <w:r>
        <w:rPr>
          <w:rFonts w:ascii="Arial" w:cs="Arial" w:eastAsia="Arial" w:hAnsi="Arial"/>
          <w:sz w:val="18"/>
          <w:szCs w:val="18"/>
          <w:color w:val="auto"/>
        </w:rPr>
        <w:t>each Restricted Stock Unit credited to his Account, he has no voting rights with respect to the Company unless and until each such Restricted Stock Unit is settled in RSU Shares pursuant to Section 4(a) hereof.</w:t>
      </w:r>
    </w:p>
    <w:p>
      <w:pPr>
        <w:spacing w:after="0" w:line="170" w:lineRule="exact"/>
        <w:rPr>
          <w:sz w:val="20"/>
          <w:szCs w:val="20"/>
          <w:color w:val="auto"/>
        </w:rPr>
      </w:pPr>
    </w:p>
    <w:p>
      <w:pPr>
        <w:jc w:val="both"/>
        <w:ind w:firstLine="1952"/>
        <w:spacing w:after="0" w:line="301" w:lineRule="auto"/>
        <w:tabs>
          <w:tab w:leader="none" w:pos="2592"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157" w:lineRule="exact"/>
        <w:rPr>
          <w:rFonts w:ascii="Arial" w:cs="Arial" w:eastAsia="Arial" w:hAnsi="Arial"/>
          <w:sz w:val="16"/>
          <w:szCs w:val="16"/>
          <w:color w:val="auto"/>
        </w:rPr>
      </w:pPr>
    </w:p>
    <w:p>
      <w:pPr>
        <w:ind w:left="1960" w:hanging="656"/>
        <w:spacing w:after="0"/>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342" w:lineRule="auto"/>
        <w:tabs>
          <w:tab w:leader="none" w:pos="2592"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23" w:lineRule="exact"/>
        <w:rPr>
          <w:rFonts w:ascii="Arial" w:cs="Arial" w:eastAsia="Arial" w:hAnsi="Arial"/>
          <w:sz w:val="16"/>
          <w:szCs w:val="16"/>
          <w:color w:val="auto"/>
        </w:rPr>
      </w:pPr>
    </w:p>
    <w:p>
      <w:pPr>
        <w:ind w:right="20" w:firstLine="1952"/>
        <w:spacing w:after="0" w:line="277" w:lineRule="auto"/>
        <w:tabs>
          <w:tab w:leader="none" w:pos="258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7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320 Park Avenue, 29th Floor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if to the Participant, at the Participant’s last known address on file with the Company.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84" w:lineRule="exact"/>
        <w:rPr>
          <w:sz w:val="20"/>
          <w:szCs w:val="20"/>
          <w:color w:val="auto"/>
        </w:rPr>
      </w:pPr>
    </w:p>
    <w:p>
      <w:pPr>
        <w:ind w:firstLine="1304"/>
        <w:spacing w:after="0" w:line="342" w:lineRule="auto"/>
        <w:tabs>
          <w:tab w:leader="none" w:pos="1944"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3" w:lineRule="exact"/>
        <w:rPr>
          <w:rFonts w:ascii="Arial" w:cs="Arial" w:eastAsia="Arial" w:hAnsi="Arial"/>
          <w:sz w:val="16"/>
          <w:szCs w:val="16"/>
          <w:color w:val="auto"/>
        </w:rPr>
      </w:pPr>
    </w:p>
    <w:p>
      <w:pPr>
        <w:jc w:val="both"/>
        <w:ind w:firstLine="1304"/>
        <w:spacing w:after="0" w:line="259" w:lineRule="auto"/>
        <w:tabs>
          <w:tab w:leader="none" w:pos="194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86" w:lineRule="exact"/>
        <w:rPr>
          <w:rFonts w:ascii="Arial" w:cs="Arial" w:eastAsia="Arial" w:hAnsi="Arial"/>
          <w:sz w:val="18"/>
          <w:szCs w:val="18"/>
          <w:color w:val="auto"/>
        </w:rPr>
      </w:pPr>
    </w:p>
    <w:p>
      <w:pPr>
        <w:ind w:firstLine="1304"/>
        <w:spacing w:after="0" w:line="277" w:lineRule="auto"/>
        <w:tabs>
          <w:tab w:leader="none" w:pos="194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170" w:lineRule="exact"/>
        <w:rPr>
          <w:rFonts w:ascii="Arial" w:cs="Arial" w:eastAsia="Arial" w:hAnsi="Arial"/>
          <w:sz w:val="18"/>
          <w:szCs w:val="18"/>
          <w:color w:val="auto"/>
        </w:rPr>
      </w:pPr>
    </w:p>
    <w:p>
      <w:pPr>
        <w:jc w:val="both"/>
        <w:ind w:firstLine="1304"/>
        <w:spacing w:after="0" w:line="340" w:lineRule="auto"/>
        <w:tabs>
          <w:tab w:leader="none" w:pos="1944" w:val="left"/>
        </w:tabs>
        <w:numPr>
          <w:ilvl w:val="0"/>
          <w:numId w:val="5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Personal Data</w:t>
      </w:r>
      <w:r>
        <w:rPr>
          <w:rFonts w:ascii="Arial" w:cs="Arial" w:eastAsia="Arial" w:hAnsi="Arial"/>
          <w:sz w:val="15"/>
          <w:szCs w:val="15"/>
          <w:b w:val="1"/>
          <w:bCs w:val="1"/>
          <w:i w:val="1"/>
          <w:iCs w:val="1"/>
          <w:color w:val="auto"/>
        </w:rPr>
        <w:t>. The Participant hereby explicitly and unambiguously consents to the collection, use and transfer, in electronic or other form, of the Participant’s personal data as described in this Agreement by and among, as applicable, the Employer, the Company and any Affiliate of the Company for the exclusive purpose of implementing, administering and managing the Participant’s participation in the Plan.</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Participant understands that the Company and the Employer may hold certain personal information about the Participant, including, but not limited to, the Participant’s name, home address and telephone number, date of birth, social insurance or other identification number, salary, nationality, job title,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1" w:right="339" w:bottom="1440" w:gutter="0" w:footer="0" w:header="0"/>
        </w:sectPr>
      </w:pPr>
    </w:p>
    <w:bookmarkStart w:id="72" w:name="page73"/>
    <w:bookmarkEnd w:id="72"/>
    <w:p>
      <w:pPr>
        <w:jc w:val="both"/>
        <w:spacing w:after="0" w:line="381" w:lineRule="auto"/>
        <w:rPr>
          <w:sz w:val="20"/>
          <w:szCs w:val="20"/>
          <w:color w:val="auto"/>
        </w:rPr>
      </w:pPr>
      <w:r>
        <w:rPr>
          <w:rFonts w:ascii="Arial" w:cs="Arial" w:eastAsia="Arial" w:hAnsi="Arial"/>
          <w:sz w:val="15"/>
          <w:szCs w:val="15"/>
          <w:b w:val="1"/>
          <w:bCs w:val="1"/>
          <w:i w:val="1"/>
          <w:iCs w:val="1"/>
          <w:color w:val="auto"/>
        </w:rPr>
        <w:t>Shares or directorships held in the Company, details of all Restricted Stock Units or any other entitlement to Shares awarded, canceled, exercised, vested, unvested or outstanding in the Participant’s favor, for the exclusive purpose of implementing, administering and managing the Plan (“</w:t>
      </w:r>
      <w:r>
        <w:rPr>
          <w:rFonts w:ascii="Arial" w:cs="Arial" w:eastAsia="Arial" w:hAnsi="Arial"/>
          <w:sz w:val="15"/>
          <w:szCs w:val="15"/>
          <w:b w:val="1"/>
          <w:bCs w:val="1"/>
          <w:i w:val="1"/>
          <w:iCs w:val="1"/>
          <w:u w:val="single" w:color="auto"/>
          <w:color w:val="auto"/>
        </w:rPr>
        <w:t>Data</w:t>
      </w:r>
      <w:r>
        <w:rPr>
          <w:rFonts w:ascii="Arial" w:cs="Arial" w:eastAsia="Arial" w:hAnsi="Arial"/>
          <w:sz w:val="15"/>
          <w:szCs w:val="15"/>
          <w:b w:val="1"/>
          <w:bCs w:val="1"/>
          <w:i w:val="1"/>
          <w:iCs w:val="1"/>
          <w:color w:val="auto"/>
        </w:rPr>
        <w:t>”).</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Participant understands that Data will be transferred to any third party assisting the Company with the implementation, administration and management of the Plan. The Participant understands that the recipients of the Data may be located in the Participant’s country, or elsewhere, and that the recipients’ country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The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refusal or withdrawal of consent may affect the Participant’s ability to participate in the Plan. For more information on the consequences of the Participant’s refusal to consent or withdrawal of consent, the Participant understands that the Participant may contact the Participant’s local human resources representative</w:t>
      </w:r>
      <w:r>
        <w:rPr>
          <w:rFonts w:ascii="Arial" w:cs="Arial" w:eastAsia="Arial" w:hAnsi="Arial"/>
          <w:sz w:val="16"/>
          <w:szCs w:val="16"/>
          <w:color w:val="auto"/>
        </w:rPr>
        <w:t>.</w:t>
      </w:r>
    </w:p>
    <w:p>
      <w:pPr>
        <w:spacing w:after="0" w:line="174" w:lineRule="exact"/>
        <w:rPr>
          <w:sz w:val="20"/>
          <w:szCs w:val="20"/>
          <w:color w:val="auto"/>
        </w:rPr>
      </w:pPr>
    </w:p>
    <w:p>
      <w:pPr>
        <w:ind w:left="1940" w:hanging="636"/>
        <w:spacing w:after="0"/>
        <w:tabs>
          <w:tab w:leader="none" w:pos="19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By signing the Agreement, the Participant acknowledges and agrees that:</w:t>
      </w:r>
    </w:p>
    <w:p>
      <w:pPr>
        <w:spacing w:after="0" w:line="225" w:lineRule="exact"/>
        <w:rPr>
          <w:rFonts w:ascii="Arial" w:cs="Arial" w:eastAsia="Arial" w:hAnsi="Arial"/>
          <w:sz w:val="18"/>
          <w:szCs w:val="18"/>
          <w:color w:val="auto"/>
        </w:rPr>
      </w:pPr>
    </w:p>
    <w:p>
      <w:pPr>
        <w:ind w:left="180" w:right="20" w:firstLine="1772"/>
        <w:spacing w:after="0" w:line="277" w:lineRule="auto"/>
        <w:tabs>
          <w:tab w:leader="none" w:pos="260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w:t>
      </w:r>
    </w:p>
    <w:p>
      <w:pPr>
        <w:spacing w:after="0" w:line="170" w:lineRule="exact"/>
        <w:rPr>
          <w:rFonts w:ascii="Arial" w:cs="Arial" w:eastAsia="Arial" w:hAnsi="Arial"/>
          <w:sz w:val="18"/>
          <w:szCs w:val="18"/>
          <w:color w:val="auto"/>
        </w:rPr>
      </w:pPr>
    </w:p>
    <w:p>
      <w:pPr>
        <w:jc w:val="both"/>
        <w:ind w:left="180" w:firstLine="1772"/>
        <w:spacing w:after="0" w:line="263" w:lineRule="auto"/>
        <w:tabs>
          <w:tab w:leader="none" w:pos="2604"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83" w:lineRule="exact"/>
        <w:rPr>
          <w:rFonts w:ascii="Arial" w:cs="Arial" w:eastAsia="Arial" w:hAnsi="Arial"/>
          <w:sz w:val="18"/>
          <w:szCs w:val="18"/>
          <w:color w:val="auto"/>
        </w:rPr>
      </w:pPr>
    </w:p>
    <w:p>
      <w:pPr>
        <w:ind w:left="2600" w:hanging="648"/>
        <w:spacing w:after="0"/>
        <w:tabs>
          <w:tab w:leader="none" w:pos="2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decisions with respect to future grants, if any, will be at the sole discretion of the Company;</w:t>
      </w:r>
    </w:p>
    <w:p>
      <w:pPr>
        <w:spacing w:after="0" w:line="225" w:lineRule="exact"/>
        <w:rPr>
          <w:rFonts w:ascii="Arial" w:cs="Arial" w:eastAsia="Arial" w:hAnsi="Arial"/>
          <w:sz w:val="18"/>
          <w:szCs w:val="18"/>
          <w:color w:val="auto"/>
        </w:rPr>
      </w:pPr>
    </w:p>
    <w:p>
      <w:pPr>
        <w:ind w:left="2260" w:hanging="308"/>
        <w:spacing w:after="0"/>
        <w:tabs>
          <w:tab w:leader="none" w:pos="22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Participant’s participation in the Plan is voluntary;</w:t>
      </w:r>
    </w:p>
    <w:p>
      <w:pPr>
        <w:spacing w:after="0" w:line="225" w:lineRule="exact"/>
        <w:rPr>
          <w:rFonts w:ascii="Arial" w:cs="Arial" w:eastAsia="Arial" w:hAnsi="Arial"/>
          <w:sz w:val="18"/>
          <w:szCs w:val="18"/>
          <w:color w:val="auto"/>
        </w:rPr>
      </w:pPr>
    </w:p>
    <w:p>
      <w:pPr>
        <w:ind w:left="180" w:right="20" w:firstLine="1772"/>
        <w:spacing w:after="0" w:line="277" w:lineRule="auto"/>
        <w:tabs>
          <w:tab w:leader="none" w:pos="260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any employment with the Employer and shall not interfere with the ability of the Employer to terminate the Participant’s employment relationship, if any, at any time;</w:t>
      </w:r>
    </w:p>
    <w:p>
      <w:pPr>
        <w:spacing w:after="0" w:line="170" w:lineRule="exact"/>
        <w:rPr>
          <w:rFonts w:ascii="Arial" w:cs="Arial" w:eastAsia="Arial" w:hAnsi="Arial"/>
          <w:sz w:val="18"/>
          <w:szCs w:val="18"/>
          <w:color w:val="auto"/>
        </w:rPr>
      </w:pPr>
    </w:p>
    <w:p>
      <w:pPr>
        <w:jc w:val="both"/>
        <w:ind w:left="180" w:firstLine="1772"/>
        <w:spacing w:after="0" w:line="263" w:lineRule="auto"/>
        <w:tabs>
          <w:tab w:leader="none" w:pos="26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Restricted Stock Units and the RSU Shares subject to the Restricted Stock Units are an extraordinary item that does not constitute compensation of any kind for services of any kind rendered to the Company or the Employer, and which is outside the scope of the Participant’s employment or service contract, if any;</w:t>
      </w:r>
    </w:p>
    <w:p>
      <w:pPr>
        <w:spacing w:after="0" w:line="183" w:lineRule="exact"/>
        <w:rPr>
          <w:rFonts w:ascii="Arial" w:cs="Arial" w:eastAsia="Arial" w:hAnsi="Arial"/>
          <w:sz w:val="18"/>
          <w:szCs w:val="18"/>
          <w:color w:val="auto"/>
        </w:rPr>
      </w:pPr>
    </w:p>
    <w:p>
      <w:pPr>
        <w:ind w:left="2600" w:hanging="648"/>
        <w:spacing w:after="0"/>
        <w:tabs>
          <w:tab w:leader="none" w:pos="26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Restricted Stock Units and the RSU Shares subject to the Restricted Stock Units are not intended to replace any</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pension rights or compensation;</w:t>
      </w:r>
    </w:p>
    <w:p>
      <w:pPr>
        <w:spacing w:after="0" w:line="210" w:lineRule="exact"/>
        <w:rPr>
          <w:rFonts w:ascii="Arial" w:cs="Arial" w:eastAsia="Arial" w:hAnsi="Arial"/>
          <w:sz w:val="16"/>
          <w:szCs w:val="16"/>
          <w:color w:val="auto"/>
        </w:rPr>
      </w:pPr>
    </w:p>
    <w:p>
      <w:pPr>
        <w:jc w:val="both"/>
        <w:ind w:left="180" w:firstLine="1772"/>
        <w:spacing w:after="0" w:line="279" w:lineRule="auto"/>
        <w:tabs>
          <w:tab w:leader="none" w:pos="2604"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Restricted Stock Units and the RSU Shares subject to the Restricted Stock Units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Affiliate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1" w:right="339" w:bottom="1440" w:gutter="0" w:footer="0" w:header="0"/>
        </w:sectPr>
      </w:pPr>
    </w:p>
    <w:bookmarkStart w:id="73" w:name="page74"/>
    <w:bookmarkEnd w:id="73"/>
    <w:p>
      <w:pPr>
        <w:ind w:left="2380" w:hanging="648"/>
        <w:spacing w:after="0"/>
        <w:tabs>
          <w:tab w:leader="none" w:pos="23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future value of the RSU Shares is unknown and cannot be predicted with certainty;</w:t>
      </w:r>
    </w:p>
    <w:p>
      <w:pPr>
        <w:spacing w:after="0" w:line="225" w:lineRule="exact"/>
        <w:rPr>
          <w:rFonts w:ascii="Arial" w:cs="Arial" w:eastAsia="Arial" w:hAnsi="Arial"/>
          <w:sz w:val="18"/>
          <w:szCs w:val="18"/>
          <w:color w:val="auto"/>
        </w:rPr>
      </w:pPr>
    </w:p>
    <w:p>
      <w:pPr>
        <w:jc w:val="both"/>
        <w:ind w:left="-40" w:firstLine="1772"/>
        <w:spacing w:after="0" w:line="275" w:lineRule="auto"/>
        <w:tabs>
          <w:tab w:leader="none" w:pos="2384" w:val="left"/>
        </w:tabs>
        <w:numPr>
          <w:ilvl w:val="1"/>
          <w:numId w:val="52"/>
        </w:numPr>
        <w:rPr>
          <w:rFonts w:ascii="Arial" w:cs="Arial" w:eastAsia="Arial" w:hAnsi="Arial"/>
          <w:sz w:val="17"/>
          <w:szCs w:val="17"/>
          <w:color w:val="auto"/>
        </w:rPr>
      </w:pPr>
      <w:r>
        <w:rPr>
          <w:rFonts w:ascii="Arial" w:cs="Arial" w:eastAsia="Arial" w:hAnsi="Arial"/>
          <w:sz w:val="17"/>
          <w:szCs w:val="17"/>
          <w:color w:val="auto"/>
        </w:rPr>
        <w:t>in consideration of the grant of the Restricted Stock Units, no claim or entitlement to compensation or damages shall arise from forfeiture of the Restricted Stock Units resulting from termination of the Participant’s employment (for any reason whatsoever and whether or not in breach of local labor laws) and the Participant irrevocably releases the Company and the Employer from any such claim that may arise; if, notwithstanding the foregoing, any such claim is found by a court of competent jurisdiction to have arisen, the Participant shall be deemed irrevocably to have waived the Participant’s right to pursue or seek remedy for any such claim or entitlement;</w:t>
      </w:r>
    </w:p>
    <w:p>
      <w:pPr>
        <w:spacing w:after="0" w:line="176" w:lineRule="exact"/>
        <w:rPr>
          <w:rFonts w:ascii="Arial" w:cs="Arial" w:eastAsia="Arial" w:hAnsi="Arial"/>
          <w:sz w:val="17"/>
          <w:szCs w:val="17"/>
          <w:color w:val="auto"/>
        </w:rPr>
      </w:pPr>
    </w:p>
    <w:p>
      <w:pPr>
        <w:jc w:val="both"/>
        <w:ind w:left="-40" w:firstLine="1772"/>
        <w:spacing w:after="0" w:line="257" w:lineRule="auto"/>
        <w:tabs>
          <w:tab w:leader="none" w:pos="2384"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 the event of termination of the Participant’s employment (whether or not in breach of local labor laws), the Participant’s right to receive Restricted Stock Units under the Plan and to vest in such Restricted Stock Units, if any, will terminate effective as of the date that the Participant is no longer actively providing services and will not be extended by any notice period mandated under local law (e.g., active service would not include a period of “garden leave” or similar period pursuant to local law); the Committee shall have the exclusive discretion to determine when the Participant is no longer actively employed for purposes of the Restricted Stock Units; and</w:t>
      </w:r>
    </w:p>
    <w:p>
      <w:pPr>
        <w:spacing w:after="0" w:line="187" w:lineRule="exact"/>
        <w:rPr>
          <w:rFonts w:ascii="Arial" w:cs="Arial" w:eastAsia="Arial" w:hAnsi="Arial"/>
          <w:sz w:val="18"/>
          <w:szCs w:val="18"/>
          <w:color w:val="auto"/>
        </w:rPr>
      </w:pPr>
    </w:p>
    <w:p>
      <w:pPr>
        <w:ind w:left="-40" w:right="20" w:firstLine="1772"/>
        <w:spacing w:after="0" w:line="277" w:lineRule="auto"/>
        <w:tabs>
          <w:tab w:leader="none" w:pos="2384"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Restricted Stock Units and the benefits under the Plan, if any, will not automatically transfer to another company in the case of a merger, take-over or transfer of liability.</w:t>
      </w:r>
    </w:p>
    <w:p>
      <w:pPr>
        <w:spacing w:after="0" w:line="170" w:lineRule="exact"/>
        <w:rPr>
          <w:rFonts w:ascii="Arial" w:cs="Arial" w:eastAsia="Arial" w:hAnsi="Arial"/>
          <w:sz w:val="18"/>
          <w:szCs w:val="18"/>
          <w:color w:val="auto"/>
        </w:rPr>
      </w:pPr>
    </w:p>
    <w:p>
      <w:pPr>
        <w:ind w:left="-40" w:firstLine="1286"/>
        <w:spacing w:after="0" w:line="308" w:lineRule="auto"/>
        <w:tabs>
          <w:tab w:leader="none" w:pos="174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46" w:lineRule="exact"/>
        <w:rPr>
          <w:rFonts w:ascii="Arial" w:cs="Arial" w:eastAsia="Arial" w:hAnsi="Arial"/>
          <w:sz w:val="17"/>
          <w:szCs w:val="17"/>
          <w:color w:val="auto"/>
        </w:rPr>
      </w:pPr>
    </w:p>
    <w:p>
      <w:pPr>
        <w:ind w:left="-40" w:firstLine="1286"/>
        <w:spacing w:after="0" w:line="277" w:lineRule="auto"/>
        <w:tabs>
          <w:tab w:leader="none" w:pos="174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70" w:lineRule="exact"/>
        <w:rPr>
          <w:rFonts w:ascii="Arial" w:cs="Arial" w:eastAsia="Arial" w:hAnsi="Arial"/>
          <w:sz w:val="18"/>
          <w:szCs w:val="18"/>
          <w:color w:val="auto"/>
        </w:rPr>
      </w:pPr>
    </w:p>
    <w:p>
      <w:pPr>
        <w:jc w:val="both"/>
        <w:ind w:left="-40" w:firstLine="1286"/>
        <w:spacing w:after="0" w:line="279" w:lineRule="auto"/>
        <w:tabs>
          <w:tab w:leader="none" w:pos="174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71" w:lineRule="exact"/>
        <w:rPr>
          <w:rFonts w:ascii="Arial" w:cs="Arial" w:eastAsia="Arial" w:hAnsi="Arial"/>
          <w:sz w:val="17"/>
          <w:szCs w:val="17"/>
          <w:color w:val="auto"/>
        </w:rPr>
      </w:pPr>
    </w:p>
    <w:p>
      <w:pPr>
        <w:jc w:val="both"/>
        <w:ind w:left="-40" w:firstLine="1286"/>
        <w:spacing w:after="0" w:line="279" w:lineRule="auto"/>
        <w:tabs>
          <w:tab w:leader="none" w:pos="174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Appendix hereto, and the Plan contain the entire agreement and understanding of the parties hereto with respect to the subject matter contained herein and supersede all prior communications, representations and negotiations in respect thereto. Except as otherwise provided in Section 16 (Imposition of Other Requirements), no change, modification or waiver of any provision of this Agreement shall be valid unless the same is in writing and signed by the parties hereto.</w:t>
      </w:r>
    </w:p>
    <w:p>
      <w:pPr>
        <w:spacing w:after="0" w:line="171" w:lineRule="exact"/>
        <w:rPr>
          <w:rFonts w:ascii="Arial" w:cs="Arial" w:eastAsia="Arial" w:hAnsi="Arial"/>
          <w:sz w:val="17"/>
          <w:szCs w:val="17"/>
          <w:color w:val="auto"/>
        </w:rPr>
      </w:pPr>
    </w:p>
    <w:p>
      <w:pPr>
        <w:jc w:val="both"/>
        <w:ind w:left="-40" w:firstLine="1286"/>
        <w:spacing w:after="0" w:line="257" w:lineRule="auto"/>
        <w:tabs>
          <w:tab w:leader="none" w:pos="174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 herein, the Participant’s participation in the Plan shall be subject to any special terms and conditions as set forth in the appendix for the Participant’s country of residence, if any (the “</w:t>
      </w:r>
      <w:r>
        <w:rPr>
          <w:rFonts w:ascii="Arial" w:cs="Arial" w:eastAsia="Arial" w:hAnsi="Arial"/>
          <w:sz w:val="18"/>
          <w:szCs w:val="18"/>
          <w:u w:val="single" w:color="auto"/>
          <w:color w:val="auto"/>
        </w:rPr>
        <w:t>Appendix</w:t>
      </w:r>
      <w:r>
        <w:rPr>
          <w:rFonts w:ascii="Arial" w:cs="Arial" w:eastAsia="Arial" w:hAnsi="Arial"/>
          <w:sz w:val="18"/>
          <w:szCs w:val="18"/>
          <w:color w:val="auto"/>
        </w:rPr>
        <w:t>”).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87" w:lineRule="exact"/>
        <w:rPr>
          <w:rFonts w:ascii="Arial" w:cs="Arial" w:eastAsia="Arial" w:hAnsi="Arial"/>
          <w:sz w:val="18"/>
          <w:szCs w:val="18"/>
          <w:color w:val="auto"/>
        </w:rPr>
      </w:pPr>
    </w:p>
    <w:p>
      <w:pPr>
        <w:jc w:val="both"/>
        <w:ind w:left="-40" w:right="20" w:firstLine="1286"/>
        <w:spacing w:after="0" w:line="259" w:lineRule="auto"/>
        <w:tabs>
          <w:tab w:leader="none" w:pos="174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 in the Plan, on the Restricted Stock Units and on any RSU Shares acquired under the Plan, to the extent the Company determines it is necessary or advisable in order to comply with local law or facilitate the administration of the Plan, and to require the Participant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540" w:top="1421" w:right="339" w:bottom="1440" w:gutter="0" w:footer="0" w:header="0"/>
        </w:sectPr>
      </w:pPr>
    </w:p>
    <w:bookmarkStart w:id="74" w:name="page75"/>
    <w:bookmarkEnd w:id="74"/>
    <w:p>
      <w:pPr>
        <w:jc w:val="both"/>
        <w:ind w:left="-220" w:firstLine="1304"/>
        <w:spacing w:after="0" w:line="273" w:lineRule="auto"/>
        <w:tabs>
          <w:tab w:leader="none" w:pos="1724"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For purposes of litigating any dispute that arises directly or indirectly from the relationship of the parties evidenced by the Restricted Stock Units or this Agreement, the parties hereby submit to and consent to the exclusive jurisdiction of the State of New York, and agree that such litigation shall be conducted only in the courts of the State of New York, or the federal courts for the United States for the Southern District of New York, and no other courts, where this grant is made and/or to be performed.</w:t>
      </w:r>
    </w:p>
    <w:p>
      <w:pPr>
        <w:spacing w:after="0" w:line="177" w:lineRule="exact"/>
        <w:rPr>
          <w:rFonts w:ascii="Arial" w:cs="Arial" w:eastAsia="Arial" w:hAnsi="Arial"/>
          <w:sz w:val="17"/>
          <w:szCs w:val="17"/>
          <w:color w:val="auto"/>
        </w:rPr>
      </w:pPr>
    </w:p>
    <w:p>
      <w:pPr>
        <w:ind w:left="-40" w:firstLine="1286"/>
        <w:spacing w:after="0" w:line="308" w:lineRule="auto"/>
        <w:tabs>
          <w:tab w:leader="none" w:pos="1742"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JURY TRIAL WAIVER</w:t>
      </w:r>
      <w:r>
        <w:rPr>
          <w:rFonts w:ascii="Arial" w:cs="Arial" w:eastAsia="Arial" w:hAnsi="Arial"/>
          <w:sz w:val="17"/>
          <w:szCs w:val="17"/>
          <w:color w:val="auto"/>
        </w:rPr>
        <w:t>. THE PARTIES EXPRESSLY AND KNOWINGLY WAIVE ANY RIGHT TO A JURY TRIAL IN THE EVENT ANY ACTION ARISING UNDER OR IN CONNECTION WITH THIS AGREEMENT IS LITIGATED OR HEARD IN ANY COURT.</w:t>
      </w:r>
    </w:p>
    <w:p>
      <w:pPr>
        <w:spacing w:after="0" w:line="146" w:lineRule="exact"/>
        <w:rPr>
          <w:rFonts w:ascii="Arial" w:cs="Arial" w:eastAsia="Arial" w:hAnsi="Arial"/>
          <w:sz w:val="17"/>
          <w:szCs w:val="17"/>
          <w:color w:val="auto"/>
        </w:rPr>
      </w:pPr>
    </w:p>
    <w:p>
      <w:pPr>
        <w:ind w:left="-40" w:firstLine="1286"/>
        <w:spacing w:after="0" w:line="277" w:lineRule="auto"/>
        <w:tabs>
          <w:tab w:leader="none" w:pos="1742"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jc w:val="both"/>
        <w:ind w:left="-40" w:firstLine="1286"/>
        <w:spacing w:after="0" w:line="257" w:lineRule="auto"/>
        <w:tabs>
          <w:tab w:leader="none" w:pos="1737"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xml:space="preserve">. This Agreement may be signed in counterparts, each of which shall be an original, with the same effect as if the signatures thereto and hereto were upon the same instrument. </w:t>
      </w:r>
      <w:r>
        <w:rPr>
          <w:rFonts w:ascii="Arial" w:cs="Arial" w:eastAsia="Arial" w:hAnsi="Arial"/>
          <w:sz w:val="18"/>
          <w:szCs w:val="18"/>
          <w:b w:val="1"/>
          <w:bCs w:val="1"/>
          <w:color w:val="auto"/>
        </w:rPr>
        <w:t>PLEASE NOTE</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Participant’s designation/election via the current plan</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21"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t>IN WITNESS WHEREOF, the parties hereto have executed this Agreement.</w:t>
      </w:r>
    </w:p>
    <w:p>
      <w:pPr>
        <w:spacing w:after="0" w:line="23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400685</wp:posOffset>
            </wp:positionV>
            <wp:extent cx="1143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#ParticipantName#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-10160</wp:posOffset>
            </wp:positionV>
            <wp:extent cx="114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139"/>
          </w:cols>
          <w:pgMar w:left="320" w:top="1421" w:right="1440"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auto"/>
        </w:rPr>
        <w:t>Exhibit A: Performance-Based RSUs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Committee has designated the following peer group of public companies in the Company’s 8-digit Global Industry Classification Standard sub-industry group (the “</w:t>
      </w:r>
      <w:r>
        <w:rPr>
          <w:rFonts w:ascii="Arial" w:cs="Arial" w:eastAsia="Arial" w:hAnsi="Arial"/>
          <w:sz w:val="18"/>
          <w:szCs w:val="18"/>
          <w:u w:val="single" w:color="auto"/>
          <w:color w:val="auto"/>
        </w:rPr>
        <w:t>Peer Group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0575" cy="28460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40575" cy="284607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TSR Peer Group</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ALJ Regional Holdings, Inc.</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Fidelity National Information</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MoneyGram International, Inc.</w:t>
            </w: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Square, Inc.</w:t>
            </w:r>
          </w:p>
        </w:tc>
      </w:tr>
      <w:tr>
        <w:trPr>
          <w:trHeight w:val="230"/>
        </w:trPr>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Services, Inc.</w:t>
            </w:r>
          </w:p>
        </w:tc>
        <w:tc>
          <w:tcPr>
            <w:tcW w:w="2820" w:type="dxa"/>
            <w:vAlign w:val="bottom"/>
            <w:tcBorders>
              <w:right w:val="single" w:sz="8" w:color="auto"/>
            </w:tcBorders>
          </w:tcPr>
          <w:p>
            <w:pPr>
              <w:spacing w:after="0"/>
              <w:rPr>
                <w:sz w:val="20"/>
                <w:szCs w:val="20"/>
                <w:color w:val="auto"/>
              </w:rPr>
            </w:pPr>
          </w:p>
        </w:tc>
        <w:tc>
          <w:tcPr>
            <w:tcW w:w="2800" w:type="dxa"/>
            <w:vAlign w:val="bottom"/>
          </w:tcPr>
          <w:p>
            <w:pPr>
              <w:spacing w:after="0"/>
              <w:rPr>
                <w:sz w:val="20"/>
                <w:szCs w:val="20"/>
                <w:color w:val="auto"/>
              </w:rPr>
            </w:pP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Alliance Data Systems Corporation</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Fiserv,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 1 UEPS Technologies, Inc.</w:t>
            </w:r>
          </w:p>
        </w:tc>
        <w:tc>
          <w:tcPr>
            <w:tcW w:w="2800" w:type="dxa"/>
            <w:vAlign w:val="bottom"/>
          </w:tcPr>
          <w:p>
            <w:pPr>
              <w:ind w:left="20"/>
              <w:spacing w:after="0"/>
              <w:rPr>
                <w:sz w:val="20"/>
                <w:szCs w:val="20"/>
                <w:color w:val="auto"/>
              </w:rPr>
            </w:pPr>
            <w:r>
              <w:rPr>
                <w:rFonts w:ascii="Arial" w:cs="Arial" w:eastAsia="Arial" w:hAnsi="Arial"/>
                <w:sz w:val="18"/>
                <w:szCs w:val="18"/>
                <w:color w:val="auto"/>
              </w:rPr>
              <w:t>StarTek,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Automatic Data Processing,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FleetCor Technologies,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NIC Inc.</w:t>
            </w:r>
          </w:p>
        </w:tc>
        <w:tc>
          <w:tcPr>
            <w:tcW w:w="2800" w:type="dxa"/>
            <w:vAlign w:val="bottom"/>
          </w:tcPr>
          <w:p>
            <w:pPr>
              <w:ind w:left="20"/>
              <w:spacing w:after="0"/>
              <w:rPr>
                <w:sz w:val="20"/>
                <w:szCs w:val="20"/>
                <w:color w:val="auto"/>
              </w:rPr>
            </w:pPr>
            <w:r>
              <w:rPr>
                <w:rFonts w:ascii="Arial" w:cs="Arial" w:eastAsia="Arial" w:hAnsi="Arial"/>
                <w:sz w:val="18"/>
                <w:szCs w:val="18"/>
                <w:color w:val="auto"/>
              </w:rPr>
              <w:t>Steel Connect,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Black Knight,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Genpact Limited</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PagSeguro Digital Ltd.</w:t>
            </w:r>
          </w:p>
        </w:tc>
        <w:tc>
          <w:tcPr>
            <w:tcW w:w="2800" w:type="dxa"/>
            <w:vAlign w:val="bottom"/>
          </w:tcPr>
          <w:p>
            <w:pPr>
              <w:ind w:left="20"/>
              <w:spacing w:after="0"/>
              <w:rPr>
                <w:sz w:val="20"/>
                <w:szCs w:val="20"/>
                <w:color w:val="auto"/>
              </w:rPr>
            </w:pPr>
            <w:r>
              <w:rPr>
                <w:rFonts w:ascii="Arial" w:cs="Arial" w:eastAsia="Arial" w:hAnsi="Arial"/>
                <w:sz w:val="18"/>
                <w:szCs w:val="18"/>
                <w:color w:val="auto"/>
              </w:rPr>
              <w:t>StoneCo Ltd.</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Broadridge Financial Solutions,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Blue Group Holding AG</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Paya Holdings Inc.</w:t>
            </w:r>
          </w:p>
        </w:tc>
        <w:tc>
          <w:tcPr>
            <w:tcW w:w="2800" w:type="dxa"/>
            <w:vAlign w:val="bottom"/>
          </w:tcPr>
          <w:p>
            <w:pPr>
              <w:ind w:left="20"/>
              <w:spacing w:after="0"/>
              <w:rPr>
                <w:sz w:val="20"/>
                <w:szCs w:val="20"/>
                <w:color w:val="auto"/>
              </w:rPr>
            </w:pPr>
            <w:r>
              <w:rPr>
                <w:rFonts w:ascii="Arial" w:cs="Arial" w:eastAsia="Arial" w:hAnsi="Arial"/>
                <w:sz w:val="18"/>
                <w:szCs w:val="18"/>
                <w:color w:val="auto"/>
              </w:rPr>
              <w:t>Sykes Enterprises, Incorporated</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Cardtronics plc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Payments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Paychex, Inc.</w:t>
            </w:r>
          </w:p>
        </w:tc>
        <w:tc>
          <w:tcPr>
            <w:tcW w:w="2800" w:type="dxa"/>
            <w:vAlign w:val="bottom"/>
          </w:tcPr>
          <w:p>
            <w:pPr>
              <w:ind w:left="20"/>
              <w:spacing w:after="0"/>
              <w:rPr>
                <w:sz w:val="20"/>
                <w:szCs w:val="20"/>
                <w:color w:val="auto"/>
              </w:rPr>
            </w:pPr>
            <w:r>
              <w:rPr>
                <w:rFonts w:ascii="Arial" w:cs="Arial" w:eastAsia="Arial" w:hAnsi="Arial"/>
                <w:sz w:val="18"/>
                <w:szCs w:val="18"/>
                <w:color w:val="auto"/>
              </w:rPr>
              <w:t>The OLB Group,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Cass Information Systems,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GreenSky,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PayPal Holdings, Inc.</w:t>
            </w:r>
          </w:p>
        </w:tc>
        <w:tc>
          <w:tcPr>
            <w:tcW w:w="2800" w:type="dxa"/>
            <w:vAlign w:val="bottom"/>
          </w:tcPr>
          <w:p>
            <w:pPr>
              <w:ind w:left="20"/>
              <w:spacing w:after="0"/>
              <w:rPr>
                <w:sz w:val="20"/>
                <w:szCs w:val="20"/>
                <w:color w:val="auto"/>
              </w:rPr>
            </w:pPr>
            <w:r>
              <w:rPr>
                <w:rFonts w:ascii="Arial" w:cs="Arial" w:eastAsia="Arial" w:hAnsi="Arial"/>
                <w:sz w:val="18"/>
                <w:szCs w:val="18"/>
                <w:color w:val="auto"/>
              </w:rPr>
              <w:t>The Western Union Company</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Concentrix Corporation</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i3 Verticals,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PaySign, Inc.</w:t>
            </w:r>
          </w:p>
        </w:tc>
        <w:tc>
          <w:tcPr>
            <w:tcW w:w="2800" w:type="dxa"/>
            <w:vAlign w:val="bottom"/>
          </w:tcPr>
          <w:p>
            <w:pPr>
              <w:ind w:left="20"/>
              <w:spacing w:after="0"/>
              <w:rPr>
                <w:sz w:val="20"/>
                <w:szCs w:val="20"/>
                <w:color w:val="auto"/>
              </w:rPr>
            </w:pPr>
            <w:r>
              <w:rPr>
                <w:rFonts w:ascii="Arial" w:cs="Arial" w:eastAsia="Arial" w:hAnsi="Arial"/>
                <w:sz w:val="18"/>
                <w:szCs w:val="18"/>
                <w:color w:val="auto"/>
              </w:rPr>
              <w:t>TTEC Holdings,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Conduent Incorporated</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Innodata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PRGX Global, Inc.</w:t>
            </w:r>
          </w:p>
        </w:tc>
        <w:tc>
          <w:tcPr>
            <w:tcW w:w="2800" w:type="dxa"/>
            <w:vAlign w:val="bottom"/>
          </w:tcPr>
          <w:p>
            <w:pPr>
              <w:ind w:left="20"/>
              <w:spacing w:after="0"/>
              <w:rPr>
                <w:sz w:val="20"/>
                <w:szCs w:val="20"/>
                <w:color w:val="auto"/>
              </w:rPr>
            </w:pPr>
            <w:r>
              <w:rPr>
                <w:rFonts w:ascii="Arial" w:cs="Arial" w:eastAsia="Arial" w:hAnsi="Arial"/>
                <w:sz w:val="18"/>
                <w:szCs w:val="18"/>
                <w:color w:val="auto"/>
              </w:rPr>
              <w:t>USA Technologies,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CSG Systems International,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International Money Express,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Priority Technology Holdings, Inc.</w:t>
            </w:r>
          </w:p>
        </w:tc>
        <w:tc>
          <w:tcPr>
            <w:tcW w:w="2800" w:type="dxa"/>
            <w:vAlign w:val="bottom"/>
          </w:tcPr>
          <w:p>
            <w:pPr>
              <w:ind w:left="20"/>
              <w:spacing w:after="0"/>
              <w:rPr>
                <w:sz w:val="20"/>
                <w:szCs w:val="20"/>
                <w:color w:val="auto"/>
              </w:rPr>
            </w:pPr>
            <w:r>
              <w:rPr>
                <w:rFonts w:ascii="Arial" w:cs="Arial" w:eastAsia="Arial" w:hAnsi="Arial"/>
                <w:sz w:val="18"/>
                <w:szCs w:val="18"/>
                <w:color w:val="auto"/>
              </w:rPr>
              <w:t>Usio,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Euronet Worldwide,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Jack Henry &amp; Associates,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Qiwi plc</w:t>
            </w:r>
          </w:p>
        </w:tc>
        <w:tc>
          <w:tcPr>
            <w:tcW w:w="2800" w:type="dxa"/>
            <w:vAlign w:val="bottom"/>
          </w:tcPr>
          <w:p>
            <w:pPr>
              <w:ind w:left="20"/>
              <w:spacing w:after="0"/>
              <w:rPr>
                <w:sz w:val="20"/>
                <w:szCs w:val="20"/>
                <w:color w:val="auto"/>
              </w:rPr>
            </w:pPr>
            <w:r>
              <w:rPr>
                <w:rFonts w:ascii="Arial" w:cs="Arial" w:eastAsia="Arial" w:hAnsi="Arial"/>
                <w:sz w:val="18"/>
                <w:szCs w:val="18"/>
                <w:color w:val="auto"/>
              </w:rPr>
              <w:t>Verra Mobility Corporation</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EVERTEC,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Marathon Patent Group,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Repay Holdings Corporation</w:t>
            </w:r>
          </w:p>
        </w:tc>
        <w:tc>
          <w:tcPr>
            <w:tcW w:w="2800" w:type="dxa"/>
            <w:vAlign w:val="bottom"/>
          </w:tcPr>
          <w:p>
            <w:pPr>
              <w:ind w:left="20"/>
              <w:spacing w:after="0"/>
              <w:rPr>
                <w:sz w:val="20"/>
                <w:szCs w:val="20"/>
                <w:color w:val="auto"/>
              </w:rPr>
            </w:pPr>
            <w:r>
              <w:rPr>
                <w:rFonts w:ascii="Arial" w:cs="Arial" w:eastAsia="Arial" w:hAnsi="Arial"/>
                <w:sz w:val="18"/>
                <w:szCs w:val="18"/>
                <w:color w:val="auto"/>
              </w:rPr>
              <w:t>Visa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EVO Payments,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Mastercard Incorporated</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Sabre Corporation</w:t>
            </w:r>
          </w:p>
        </w:tc>
        <w:tc>
          <w:tcPr>
            <w:tcW w:w="2800" w:type="dxa"/>
            <w:vAlign w:val="bottom"/>
          </w:tcPr>
          <w:p>
            <w:pPr>
              <w:ind w:left="20"/>
              <w:spacing w:after="0"/>
              <w:rPr>
                <w:sz w:val="20"/>
                <w:szCs w:val="20"/>
                <w:color w:val="auto"/>
              </w:rPr>
            </w:pPr>
            <w:r>
              <w:rPr>
                <w:rFonts w:ascii="Arial" w:cs="Arial" w:eastAsia="Arial" w:hAnsi="Arial"/>
                <w:sz w:val="18"/>
                <w:szCs w:val="18"/>
                <w:color w:val="auto"/>
              </w:rPr>
              <w:t>WEX Inc.</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Exela Technologies,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MAXIMUS, Inc.</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Shift4 Payments, Inc.</w:t>
            </w:r>
          </w:p>
        </w:tc>
        <w:tc>
          <w:tcPr>
            <w:tcW w:w="2800" w:type="dxa"/>
            <w:vAlign w:val="bottom"/>
          </w:tcPr>
          <w:p>
            <w:pPr>
              <w:ind w:left="20"/>
              <w:spacing w:after="0"/>
              <w:rPr>
                <w:sz w:val="20"/>
                <w:szCs w:val="20"/>
                <w:color w:val="auto"/>
              </w:rPr>
            </w:pPr>
            <w:r>
              <w:rPr>
                <w:rFonts w:ascii="Arial" w:cs="Arial" w:eastAsia="Arial" w:hAnsi="Arial"/>
                <w:sz w:val="18"/>
                <w:szCs w:val="18"/>
                <w:color w:val="auto"/>
              </w:rPr>
              <w:t>WNS (Holdings) Limited</w:t>
            </w:r>
          </w:p>
        </w:tc>
      </w:tr>
      <w:tr>
        <w:trPr>
          <w:trHeight w:val="27"/>
        </w:trPr>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Company’s TSR for the TSR Performance Period will be computed and then compared to the TSR of the companies in the Peer Group. A participant shall earn [200%, 150%, 100%, 50% or 0%] of the Performance-Based RSUs, as applicable, if the Company’s TSR for the Performance Period equals or exceeds the [80th, 65th, 50th, 35th or 20th] percentile, respectively, of the Peer Group, when ranked by TSR for the TSR Performance Period. The percentage of Performance-Based RSUs earned will be determined based on straight-line interpolation to the extent the Company’s TSR falls in between the 20th and 80th percentiles, as per the chart below:</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120" w:type="dxa"/>
            <w:vAlign w:val="bottom"/>
            <w:tcBorders>
              <w:top w:val="single" w:sz="8" w:color="auto"/>
              <w:left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Target TSR Percentile</w:t>
            </w:r>
          </w:p>
        </w:tc>
        <w:tc>
          <w:tcPr>
            <w:tcW w:w="408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8"/>
                <w:szCs w:val="18"/>
                <w:b w:val="1"/>
                <w:bCs w:val="1"/>
                <w:color w:val="auto"/>
              </w:rPr>
              <w:t>Funding</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50"/>
        </w:trPr>
        <w:tc>
          <w:tcPr>
            <w:tcW w:w="4120" w:type="dxa"/>
            <w:vAlign w:val="bottom"/>
            <w:tcBorders>
              <w:left w:val="single" w:sz="8" w:color="auto"/>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Notwithstanding the foregoing, if the Company’s TSR for the TSR Performance Period is negative, the maximum percentage of Performance-Based RSUs that may be earned is 100% regardless of the Company’s actual percentile ranking relative to the peer Group. TSR shall be determined in the customary manner based on the percentage increase in a company’s stock price (taking into account assumed immediate reinvestment of dividends) from the first day of the TSR Performance Period to the last day of the TSR Performance Period. For this purpose, a company’s stock price on the applicable date will be determined as the 30 calendar day average closing stock price ending on the applicable date (or the immediately preceding trading day if the applicable date is not a trading day), except as provided in Section 3(b) in the event of a Change in Control.</w:t>
      </w:r>
    </w:p>
    <w:p>
      <w:pPr>
        <w:sectPr>
          <w:pgSz w:w="11900" w:h="16838" w:orient="portrait"/>
          <w:cols w:equalWidth="0" w:num="1">
            <w:col w:w="11260"/>
          </w:cols>
          <w:pgMar w:left="320" w:top="141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1417" w:right="319" w:bottom="1440" w:gutter="0" w:footer="0" w:header="0"/>
          <w:type w:val="continuous"/>
        </w:sectPr>
      </w:pPr>
    </w:p>
    <w:bookmarkStart w:id="77" w:name="page78"/>
    <w:bookmarkEnd w:id="77"/>
    <w:p>
      <w:pPr>
        <w:ind w:firstLine="648"/>
        <w:spacing w:after="0" w:line="277" w:lineRule="auto"/>
        <w:rPr>
          <w:sz w:val="20"/>
          <w:szCs w:val="20"/>
          <w:color w:val="auto"/>
        </w:rPr>
      </w:pPr>
      <w:r>
        <w:rPr>
          <w:rFonts w:ascii="Arial" w:cs="Arial" w:eastAsia="Arial" w:hAnsi="Arial"/>
          <w:sz w:val="18"/>
          <w:szCs w:val="18"/>
          <w:color w:val="auto"/>
        </w:rPr>
        <w:t>Companies in the Peer Group that are not publicly traded on the last day of the TSR Performance Period shall not be taken into account for TSR purposes (except that any such company that goes bankrupt will be deemed to have a negative 100%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1" w:right="3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OMNIBUS INCENTIVE PLAN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Restricted Stock Unit Agreement [Directors]</w:t>
      </w:r>
    </w:p>
    <w:p>
      <w:pPr>
        <w:spacing w:after="0" w:line="200" w:lineRule="exact"/>
        <w:rPr>
          <w:sz w:val="20"/>
          <w:szCs w:val="20"/>
          <w:color w:val="auto"/>
        </w:rPr>
      </w:pPr>
    </w:p>
    <w:p>
      <w:pPr>
        <w:spacing w:after="0" w:line="34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RESTRICTED STOCK UNIT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is made, effective as of the </w:t>
      </w:r>
      <w:r>
        <w:rPr>
          <w:rFonts w:ascii="Arial" w:cs="Arial" w:eastAsia="Arial" w:hAnsi="Arial"/>
          <w:sz w:val="17"/>
          <w:szCs w:val="17"/>
          <w:b w:val="1"/>
          <w:bCs w:val="1"/>
          <w:color w:val="auto"/>
        </w:rPr>
        <w:t>___</w:t>
      </w:r>
      <w:r>
        <w:rPr>
          <w:rFonts w:ascii="Arial" w:cs="Arial" w:eastAsia="Arial" w:hAnsi="Arial"/>
          <w:sz w:val="17"/>
          <w:szCs w:val="17"/>
          <w:color w:val="auto"/>
        </w:rPr>
        <w:t xml:space="preserve"> day of [____] (hereinafter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between ExlService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[NAME]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 E C I T A L 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WHEREAS, the Company has adopted the ExlService Holdings, Inc. 2018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 and</w:t>
      </w:r>
    </w:p>
    <w:p>
      <w:pPr>
        <w:spacing w:after="0" w:line="17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WHEREAS, the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it is in the best interests of the Company and its stockholders to grant to the Participant an award of Restricted Stock Units as provided herein and subject to the terms set forth herein.</w:t>
      </w:r>
    </w:p>
    <w:p>
      <w:pPr>
        <w:spacing w:after="0" w:line="18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w:t>
      </w: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xml:space="preserve">. The Company hereby grants on the Date of Grant, to the Participant a total of </w:t>
      </w:r>
      <w:r>
        <w:rPr>
          <w:rFonts w:ascii="Arial" w:cs="Arial" w:eastAsia="Arial" w:hAnsi="Arial"/>
          <w:sz w:val="16"/>
          <w:szCs w:val="16"/>
          <w:b w:val="1"/>
          <w:bCs w:val="1"/>
          <w:color w:val="auto"/>
        </w:rPr>
        <w:t>[____]</w:t>
      </w:r>
      <w:r>
        <w:rPr>
          <w:rFonts w:ascii="Arial" w:cs="Arial" w:eastAsia="Arial" w:hAnsi="Arial"/>
          <w:sz w:val="16"/>
          <w:szCs w:val="16"/>
          <w:color w:val="auto"/>
        </w:rPr>
        <w:t xml:space="preserve"> Restricted Stock</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Units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18"/>
          <w:szCs w:val="18"/>
          <w:u w:val="single" w:color="auto"/>
          <w:color w:val="auto"/>
        </w:rPr>
        <w:t>Account</w:t>
      </w:r>
      <w:r>
        <w:rPr>
          <w:rFonts w:ascii="Arial" w:cs="Arial" w:eastAsia="Arial" w:hAnsi="Arial"/>
          <w:sz w:val="18"/>
          <w:szCs w:val="18"/>
          <w:color w:val="auto"/>
        </w:rPr>
        <w:t>”). On any given date, the value of each Restricted Stock Unit credited to the Account shall equal the Fair Market Value of one share of Common Stock. The Restricted Stock Units shall vest and settle in accordance with Section 3 hereof.</w:t>
      </w:r>
    </w:p>
    <w:p>
      <w:pPr>
        <w:spacing w:after="0" w:line="193" w:lineRule="exact"/>
        <w:rPr>
          <w:sz w:val="20"/>
          <w:szCs w:val="20"/>
          <w:color w:val="auto"/>
        </w:rPr>
      </w:pPr>
    </w:p>
    <w:p>
      <w:pPr>
        <w:jc w:val="both"/>
        <w:ind w:firstLine="1151"/>
        <w:spacing w:after="0" w:line="257"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79" w:name="page80"/>
    <w:bookmarkEnd w:id="79"/>
    <w:p>
      <w:pPr>
        <w:ind w:left="1100"/>
        <w:spacing w:after="0"/>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Terms and Conditions</w:t>
      </w:r>
      <w:r>
        <w:rPr>
          <w:rFonts w:ascii="Arial" w:cs="Arial" w:eastAsia="Arial" w:hAnsi="Arial"/>
          <w:sz w:val="18"/>
          <w:szCs w:val="18"/>
          <w:color w:val="auto"/>
        </w:rPr>
        <w:t>.</w:t>
      </w:r>
    </w:p>
    <w:p>
      <w:pPr>
        <w:spacing w:after="0" w:line="225" w:lineRule="exact"/>
        <w:rPr>
          <w:sz w:val="20"/>
          <w:szCs w:val="20"/>
          <w:color w:val="auto"/>
        </w:rPr>
      </w:pPr>
    </w:p>
    <w:p>
      <w:pPr>
        <w:jc w:val="both"/>
        <w:ind w:left="80" w:firstLine="1872"/>
        <w:spacing w:after="0" w:line="254" w:lineRule="auto"/>
        <w:tabs>
          <w:tab w:leader="none" w:pos="2591"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provided in the Plan and this Agreement, and contingent upon the Participant’s continued service to the Company, the Restricted Stock Units credited to the Account shall vest and become non-forfeitable the earlier of (A) the first anniversary of the Date of Grant, (B) the date on which the Participant’s term as a member of the Board expires if the Participant is not subsequently elected to a new term on the Board, (C) a Change in Control and (D) the date of the Participant’s termination of service prior to the first anniversary of the Date of Grant (the “</w:t>
      </w:r>
      <w:r>
        <w:rPr>
          <w:rFonts w:ascii="Arial" w:cs="Arial" w:eastAsia="Arial" w:hAnsi="Arial"/>
          <w:sz w:val="18"/>
          <w:szCs w:val="18"/>
          <w:u w:val="single" w:color="auto"/>
          <w:color w:val="auto"/>
        </w:rPr>
        <w:t>Vesting Date</w:t>
      </w:r>
      <w:r>
        <w:rPr>
          <w:rFonts w:ascii="Arial" w:cs="Arial" w:eastAsia="Arial" w:hAnsi="Arial"/>
          <w:sz w:val="18"/>
          <w:szCs w:val="18"/>
          <w:color w:val="auto"/>
        </w:rPr>
        <w:t>”). In the event of a Vesting Date pursuant to Sections 3(a)(A)-(C), one hundred percent (100%) of the Restricted Stock Units credited to the Account shall vest and become non-forfeitable. In the event of a Vesting Date pursuant to Section 3(a)(D), the Participant shall vest in a prorated amount of Restricted Stock Units based on the number of whole calendar months of the Participant’s continuous service prior to the first anniversary of the Date of Grant.</w:t>
      </w:r>
    </w:p>
    <w:p>
      <w:pPr>
        <w:spacing w:after="0" w:line="191" w:lineRule="exact"/>
        <w:rPr>
          <w:rFonts w:ascii="Arial" w:cs="Arial" w:eastAsia="Arial" w:hAnsi="Arial"/>
          <w:sz w:val="18"/>
          <w:szCs w:val="18"/>
          <w:color w:val="auto"/>
        </w:rPr>
      </w:pPr>
    </w:p>
    <w:p>
      <w:pPr>
        <w:jc w:val="both"/>
        <w:ind w:left="80" w:firstLine="1872"/>
        <w:spacing w:after="0" w:line="285" w:lineRule="auto"/>
        <w:tabs>
          <w:tab w:leader="none" w:pos="2591"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Upon the “Settlement Date” (as defined below), each vested Restricted Stock Unit credited to the Account will be settled (and, upon such settlement, shall cease to be credited to the Account) by the Company (i) issuing to the Participant one share of Common Stock for each whole Restricted Stock Unit credited to the Account (such shares, the “</w:t>
      </w:r>
      <w:r>
        <w:rPr>
          <w:rFonts w:ascii="Arial" w:cs="Arial" w:eastAsia="Arial" w:hAnsi="Arial"/>
          <w:sz w:val="16"/>
          <w:szCs w:val="16"/>
          <w:u w:val="single" w:color="auto"/>
          <w:color w:val="auto"/>
        </w:rPr>
        <w:t>RSU Shares</w:t>
      </w:r>
      <w:r>
        <w:rPr>
          <w:rFonts w:ascii="Arial" w:cs="Arial" w:eastAsia="Arial" w:hAnsi="Arial"/>
          <w:sz w:val="16"/>
          <w:szCs w:val="16"/>
          <w:color w:val="auto"/>
        </w:rPr>
        <w:t>”) and making a cash payment to the Participant equal to the Fair Market Value of any fractional Restricted Stock Units credited to the Account and (ii) with respect to the RSU Shares so issued, entering the Participant’s name as a stockholder of record on the books of the Company. For purposes of this Agreement, “</w:t>
      </w:r>
      <w:r>
        <w:rPr>
          <w:rFonts w:ascii="Arial" w:cs="Arial" w:eastAsia="Arial" w:hAnsi="Arial"/>
          <w:sz w:val="16"/>
          <w:szCs w:val="16"/>
          <w:u w:val="single" w:color="auto"/>
          <w:color w:val="auto"/>
        </w:rPr>
        <w:t>Settlement Date</w:t>
      </w:r>
      <w:r>
        <w:rPr>
          <w:rFonts w:ascii="Arial" w:cs="Arial" w:eastAsia="Arial" w:hAnsi="Arial"/>
          <w:sz w:val="16"/>
          <w:szCs w:val="16"/>
          <w:color w:val="auto"/>
        </w:rPr>
        <w:t>” shall mean the earliest of</w:t>
      </w:r>
    </w:p>
    <w:p>
      <w:pPr>
        <w:spacing w:after="0" w:line="1" w:lineRule="exact"/>
        <w:rPr>
          <w:rFonts w:ascii="Arial" w:cs="Arial" w:eastAsia="Arial" w:hAnsi="Arial"/>
          <w:sz w:val="16"/>
          <w:szCs w:val="16"/>
          <w:color w:val="auto"/>
        </w:rPr>
      </w:pPr>
    </w:p>
    <w:p>
      <w:pPr>
        <w:jc w:val="both"/>
        <w:ind w:left="80" w:firstLine="9"/>
        <w:spacing w:after="0" w:line="252" w:lineRule="auto"/>
        <w:tabs>
          <w:tab w:leader="none" w:pos="31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Participant’s death, (ii) a Change in Control, or (iii) [the date that is 180 days following the date on which the Participant ceases to serve as a member of the Board for any reason other than due to his death or, if later, the date of the Participant’s “separation from service” (as defined in Section 409A of the Code and any Treasury Regulations promulgated thereunder)] [the Vesting Date]. Notwithstanding anything to the contrary in this Section 3, a Change of Control hereunder shall not be a distribution event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193" w:lineRule="exact"/>
        <w:rPr>
          <w:rFonts w:ascii="Arial" w:cs="Arial" w:eastAsia="Arial" w:hAnsi="Arial"/>
          <w:sz w:val="18"/>
          <w:szCs w:val="18"/>
          <w:color w:val="auto"/>
        </w:rPr>
      </w:pPr>
    </w:p>
    <w:p>
      <w:pPr>
        <w:jc w:val="both"/>
        <w:ind w:left="80" w:firstLine="1872"/>
        <w:spacing w:after="0" w:line="259" w:lineRule="auto"/>
        <w:tabs>
          <w:tab w:leader="none" w:pos="2591"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Restricted Stock Units granted hereunder may not be sold, pledged or otherwise transferred (other than by will or the laws of decent and distribution) and may not be subject to lien, garnishment, attachment or other legal process. The Participant acknowledges and agrees that, with respect to the Restricted Stock Units credited to his Account, he has no voting rights with respect to the Company unless and until such Restricted Stock Units are settled in RSU Shares pursuant to Section 3(b) hereof.</w:t>
      </w:r>
    </w:p>
    <w:p>
      <w:pPr>
        <w:spacing w:after="0" w:line="186" w:lineRule="exact"/>
        <w:rPr>
          <w:rFonts w:ascii="Arial" w:cs="Arial" w:eastAsia="Arial" w:hAnsi="Arial"/>
          <w:sz w:val="18"/>
          <w:szCs w:val="18"/>
          <w:color w:val="auto"/>
        </w:rPr>
      </w:pPr>
    </w:p>
    <w:p>
      <w:pPr>
        <w:ind w:left="2600" w:hanging="648"/>
        <w:spacing w:after="0"/>
        <w:tabs>
          <w:tab w:leader="none" w:pos="260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0"/>
        <w:spacing w:after="0" w:line="263" w:lineRule="auto"/>
        <w:tabs>
          <w:tab w:leader="none" w:pos="3451" w:val="left"/>
        </w:tabs>
        <w:numPr>
          <w:ilvl w:val="2"/>
          <w:numId w:val="56"/>
        </w:numPr>
        <w:rPr>
          <w:rFonts w:ascii="Arial" w:cs="Arial" w:eastAsia="Arial" w:hAnsi="Arial"/>
          <w:sz w:val="18"/>
          <w:szCs w:val="18"/>
          <w:color w:val="auto"/>
        </w:rPr>
      </w:pPr>
      <w:r>
        <w:rPr>
          <w:rFonts w:ascii="Arial" w:cs="Arial" w:eastAsia="Arial" w:hAnsi="Arial"/>
          <w:sz w:val="18"/>
          <w:szCs w:val="18"/>
          <w:color w:val="auto"/>
        </w:rPr>
        <w:t>Except as otherwise provided in subsection (ii) of this Section 3(d) or the Plan, if the Participant’s service with the Company terminates prior to the Vesting Date for any reason, the Restricted Stock Units credited to the Account shall be forfeited without further consideration to the Participant.</w:t>
      </w:r>
    </w:p>
    <w:p>
      <w:pPr>
        <w:spacing w:after="0" w:line="183" w:lineRule="exact"/>
        <w:rPr>
          <w:rFonts w:ascii="Arial" w:cs="Arial" w:eastAsia="Arial" w:hAnsi="Arial"/>
          <w:sz w:val="18"/>
          <w:szCs w:val="18"/>
          <w:color w:val="auto"/>
        </w:rPr>
      </w:pPr>
    </w:p>
    <w:p>
      <w:pPr>
        <w:ind w:firstLine="2600"/>
        <w:spacing w:after="0" w:line="308" w:lineRule="auto"/>
        <w:tabs>
          <w:tab w:leader="none" w:pos="3240" w:val="left"/>
        </w:tabs>
        <w:numPr>
          <w:ilvl w:val="2"/>
          <w:numId w:val="56"/>
        </w:numPr>
        <w:rPr>
          <w:rFonts w:ascii="Arial" w:cs="Arial" w:eastAsia="Arial" w:hAnsi="Arial"/>
          <w:sz w:val="17"/>
          <w:szCs w:val="17"/>
          <w:color w:val="auto"/>
        </w:rPr>
      </w:pPr>
      <w:r>
        <w:rPr>
          <w:rFonts w:ascii="Arial" w:cs="Arial" w:eastAsia="Arial" w:hAnsi="Arial"/>
          <w:sz w:val="17"/>
          <w:szCs w:val="17"/>
          <w:color w:val="auto"/>
        </w:rPr>
        <w:t>Upon the termination of Participant’s service with the Company due to his death or the end of his term as a member of the Board, the Restricted Stock Units credited to the Account shall become one hundred (100%) vested and non-forfeitable.</w:t>
      </w:r>
    </w:p>
    <w:p>
      <w:pPr>
        <w:spacing w:after="0" w:line="146" w:lineRule="exact"/>
        <w:rPr>
          <w:rFonts w:ascii="Arial" w:cs="Arial" w:eastAsia="Arial" w:hAnsi="Arial"/>
          <w:sz w:val="17"/>
          <w:szCs w:val="17"/>
          <w:color w:val="auto"/>
        </w:rPr>
      </w:pPr>
    </w:p>
    <w:p>
      <w:pPr>
        <w:jc w:val="both"/>
        <w:ind w:left="80" w:firstLine="1872"/>
        <w:spacing w:after="0" w:line="272" w:lineRule="auto"/>
        <w:tabs>
          <w:tab w:leader="none" w:pos="2591"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If on any date the Company pays any dividend with respect to its Common Stock (the “</w:t>
      </w:r>
      <w:r>
        <w:rPr>
          <w:rFonts w:ascii="Arial" w:cs="Arial" w:eastAsia="Arial" w:hAnsi="Arial"/>
          <w:sz w:val="17"/>
          <w:szCs w:val="17"/>
          <w:u w:val="single" w:color="auto"/>
          <w:color w:val="auto"/>
        </w:rPr>
        <w:t>Payment Date</w:t>
      </w:r>
      <w:r>
        <w:rPr>
          <w:rFonts w:ascii="Arial" w:cs="Arial" w:eastAsia="Arial" w:hAnsi="Arial"/>
          <w:sz w:val="17"/>
          <w:szCs w:val="17"/>
          <w:color w:val="auto"/>
        </w:rPr>
        <w:t>”), then the number of Restricted Stock Units credited to the Account shall on the Payment Date be increased by that number of Restricted Stock Units equal to: (i) the product of (x) the number of Restricted Stock Units in the Account as of the Payment Date and (y) the per share cash amount of such dividend (or, in the case of a dividend payable in shares of Common Stock or in property other than cash, the per share equivalent cash value of such dividend, as determined in good faith by the Committee), divided by (ii) the Fair Market Value of a share of Common Stock on the Payment Date. Each additional Restricted Stock Unit, or fraction thereof, credited to the Account in accordance with this Section 3(e) shall vest and be settled at the same time as the original Restricted Stock Units to which they are attributable.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80" w:name="page81"/>
    <w:bookmarkEnd w:id="80"/>
    <w:p>
      <w:pPr>
        <w:jc w:val="both"/>
        <w:ind w:left="80" w:firstLine="1872"/>
        <w:spacing w:after="0" w:line="263" w:lineRule="auto"/>
        <w:tabs>
          <w:tab w:leader="none" w:pos="259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Upon the settlement of the Restricted Stock Units in accordance with Section 3(b) hereof, the Participant shall recognize taxable income in respect of the Restricted Stock Units and the Company shall report such taxable income to the appropriate taxing authorities as it determines to be necessary and appropriate.</w:t>
      </w:r>
    </w:p>
    <w:p>
      <w:pPr>
        <w:spacing w:after="0" w:line="183" w:lineRule="exact"/>
        <w:rPr>
          <w:rFonts w:ascii="Arial" w:cs="Arial" w:eastAsia="Arial" w:hAnsi="Arial"/>
          <w:sz w:val="18"/>
          <w:szCs w:val="18"/>
          <w:color w:val="auto"/>
        </w:rPr>
      </w:pPr>
    </w:p>
    <w:p>
      <w:pPr>
        <w:jc w:val="both"/>
        <w:ind w:left="80" w:firstLine="1872"/>
        <w:spacing w:after="0" w:line="279" w:lineRule="auto"/>
        <w:tabs>
          <w:tab w:leader="none" w:pos="2591"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Upon and following the Settlement Date, the Participant shall be the record owner of the RSU Shares unless and until such shares are sold or otherwise disposed of, and as record owner shall be entitled to all rights of a common stockholder of the Company, including, without limitation, voting rights, if any, with respect to the RSU Shares. Prior to the Settlement Date, the Participant shall not be deemed for any purpose to be the owner of the shares of Common Stock underlying the Restricted Stock Units.</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1952"/>
        <w:spacing w:after="0" w:line="342" w:lineRule="auto"/>
        <w:tabs>
          <w:tab w:leader="none" w:pos="259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Participant’s interest in the Account shall make the Participant only a general, unsecured creditor of the Company.</w:t>
      </w:r>
    </w:p>
    <w:p>
      <w:pPr>
        <w:spacing w:after="0" w:line="123" w:lineRule="exact"/>
        <w:rPr>
          <w:rFonts w:ascii="Arial" w:cs="Arial" w:eastAsia="Arial" w:hAnsi="Arial"/>
          <w:sz w:val="16"/>
          <w:szCs w:val="16"/>
          <w:color w:val="auto"/>
        </w:rPr>
      </w:pPr>
    </w:p>
    <w:p>
      <w:pPr>
        <w:ind w:firstLine="1952"/>
        <w:spacing w:after="0" w:line="277" w:lineRule="auto"/>
        <w:tabs>
          <w:tab w:leader="none" w:pos="259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ExlService Holdings, Inc.</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320 Park Avenue, 29th Floor</w:t>
      </w:r>
    </w:p>
    <w:p>
      <w:pPr>
        <w:ind w:left="2120"/>
        <w:spacing w:after="0" w:line="234" w:lineRule="auto"/>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Attention: General Counsel</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Participant, at the Participant’s last known address on file with the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84" w:lineRule="exact"/>
        <w:rPr>
          <w:sz w:val="20"/>
          <w:szCs w:val="20"/>
          <w:color w:val="auto"/>
        </w:rPr>
      </w:pPr>
    </w:p>
    <w:p>
      <w:pPr>
        <w:jc w:val="both"/>
        <w:ind w:firstLine="1952"/>
        <w:spacing w:after="0" w:line="263" w:lineRule="auto"/>
        <w:tabs>
          <w:tab w:leader="none" w:pos="259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3" w:lineRule="exact"/>
        <w:rPr>
          <w:rFonts w:ascii="Arial" w:cs="Arial" w:eastAsia="Arial" w:hAnsi="Arial"/>
          <w:sz w:val="18"/>
          <w:szCs w:val="18"/>
          <w:color w:val="auto"/>
        </w:rPr>
      </w:pPr>
    </w:p>
    <w:p>
      <w:pPr>
        <w:jc w:val="both"/>
        <w:ind w:firstLine="1952"/>
        <w:spacing w:after="0" w:line="311" w:lineRule="auto"/>
        <w:tabs>
          <w:tab w:leader="none" w:pos="259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No Rights to Service</w:t>
      </w:r>
      <w:r>
        <w:rPr>
          <w:rFonts w:ascii="Arial" w:cs="Arial" w:eastAsia="Arial" w:hAnsi="Arial"/>
          <w:sz w:val="16"/>
          <w:szCs w:val="16"/>
          <w:color w:val="auto"/>
        </w:rPr>
        <w:t>. Nothing contained in this Agreement shall be construed as giving the Participant any right to be retained, in any position, as a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48" w:lineRule="exact"/>
        <w:rPr>
          <w:rFonts w:ascii="Arial" w:cs="Arial" w:eastAsia="Arial" w:hAnsi="Arial"/>
          <w:sz w:val="16"/>
          <w:szCs w:val="16"/>
          <w:color w:val="auto"/>
        </w:rPr>
      </w:pPr>
    </w:p>
    <w:p>
      <w:pPr>
        <w:ind w:firstLine="1952"/>
        <w:spacing w:after="0" w:line="277" w:lineRule="auto"/>
        <w:tabs>
          <w:tab w:leader="none" w:pos="259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59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81" w:name="page82"/>
    <w:bookmarkEnd w:id="81"/>
    <w:p>
      <w:pPr>
        <w:ind w:firstLine="1952"/>
        <w:spacing w:after="0" w:line="277" w:lineRule="auto"/>
        <w:tabs>
          <w:tab w:leader="none" w:pos="259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its successors and assigns, and of the Participant and the beneficiaries, executors, administrators, heirs and successors of the Participant.</w:t>
      </w:r>
    </w:p>
    <w:p>
      <w:pPr>
        <w:spacing w:after="0" w:line="170" w:lineRule="exact"/>
        <w:rPr>
          <w:rFonts w:ascii="Arial" w:cs="Arial" w:eastAsia="Arial" w:hAnsi="Arial"/>
          <w:sz w:val="18"/>
          <w:szCs w:val="18"/>
          <w:color w:val="auto"/>
        </w:rPr>
      </w:pPr>
    </w:p>
    <w:p>
      <w:pPr>
        <w:jc w:val="both"/>
        <w:ind w:firstLine="1952"/>
        <w:spacing w:after="0" w:line="311" w:lineRule="auto"/>
        <w:tabs>
          <w:tab w:leader="none" w:pos="259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w:t>
      </w:r>
    </w:p>
    <w:p>
      <w:pPr>
        <w:spacing w:after="0" w:line="148" w:lineRule="exact"/>
        <w:rPr>
          <w:rFonts w:ascii="Arial" w:cs="Arial" w:eastAsia="Arial" w:hAnsi="Arial"/>
          <w:sz w:val="16"/>
          <w:szCs w:val="16"/>
          <w:color w:val="auto"/>
        </w:rPr>
      </w:pPr>
    </w:p>
    <w:p>
      <w:pPr>
        <w:jc w:val="both"/>
        <w:ind w:firstLine="1952"/>
        <w:spacing w:after="0" w:line="263" w:lineRule="auto"/>
        <w:tabs>
          <w:tab w:leader="none" w:pos="259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laws of the State of Delaware without regard to principles of conflicts of law thereof, or principals of conflicts of laws of any other jurisdiction which could cause the application of the laws of any jurisdiction other than the State of Delaware.</w:t>
      </w:r>
    </w:p>
    <w:p>
      <w:pPr>
        <w:spacing w:after="0" w:line="183" w:lineRule="exact"/>
        <w:rPr>
          <w:rFonts w:ascii="Arial" w:cs="Arial" w:eastAsia="Arial" w:hAnsi="Arial"/>
          <w:sz w:val="18"/>
          <w:szCs w:val="18"/>
          <w:color w:val="auto"/>
        </w:rPr>
      </w:pPr>
    </w:p>
    <w:p>
      <w:pPr>
        <w:jc w:val="both"/>
        <w:ind w:right="20" w:firstLine="1952"/>
        <w:spacing w:after="0" w:line="263" w:lineRule="auto"/>
        <w:tabs>
          <w:tab w:leader="none" w:pos="258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xml:space="preserve"> THE PARTIES EXPRESSLY AND KNOWINGLY WAIVE ANY RIGHT TO A JURY TRIAL IN THE EVENT ANY ACTION ARISING UNDER OR IN CONNECTION WITH THIS AGREEMENT IS LITIGATED OR HEARD IN ANY COURT.</w:t>
      </w:r>
    </w:p>
    <w:p>
      <w:pPr>
        <w:spacing w:after="0" w:line="183" w:lineRule="exact"/>
        <w:rPr>
          <w:rFonts w:ascii="Arial" w:cs="Arial" w:eastAsia="Arial" w:hAnsi="Arial"/>
          <w:sz w:val="18"/>
          <w:szCs w:val="18"/>
          <w:color w:val="auto"/>
        </w:rPr>
      </w:pPr>
    </w:p>
    <w:p>
      <w:pPr>
        <w:jc w:val="both"/>
        <w:ind w:firstLine="1952"/>
        <w:spacing w:after="0" w:line="279" w:lineRule="auto"/>
        <w:tabs>
          <w:tab w:leader="none" w:pos="258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xml:space="preserve">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71" w:lineRule="exact"/>
        <w:rPr>
          <w:rFonts w:ascii="Arial" w:cs="Arial" w:eastAsia="Arial" w:hAnsi="Arial"/>
          <w:sz w:val="17"/>
          <w:szCs w:val="17"/>
          <w:color w:val="auto"/>
        </w:rPr>
      </w:pPr>
    </w:p>
    <w:p>
      <w:pPr>
        <w:ind w:firstLine="1952"/>
        <w:spacing w:after="0" w:line="277" w:lineRule="auto"/>
        <w:tabs>
          <w:tab w:leader="none" w:pos="258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ind w:right="20" w:firstLine="1952"/>
        <w:spacing w:after="0" w:line="277" w:lineRule="auto"/>
        <w:tabs>
          <w:tab w:leader="none" w:pos="258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w:t>
      </w:r>
    </w:p>
    <w:p>
      <w:pPr>
        <w:spacing w:after="0" w:line="200" w:lineRule="exact"/>
        <w:rPr>
          <w:sz w:val="20"/>
          <w:szCs w:val="20"/>
          <w:color w:val="auto"/>
        </w:rPr>
      </w:pPr>
    </w:p>
    <w:p>
      <w:pPr>
        <w:spacing w:after="0" w:line="22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471805</wp:posOffset>
            </wp:positionV>
            <wp:extent cx="6858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-10160</wp:posOffset>
            </wp:positionV>
            <wp:extent cx="6858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-19050</wp:posOffset>
            </wp:positionV>
            <wp:extent cx="6858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403225</wp:posOffset>
            </wp:positionV>
            <wp:extent cx="6858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1417"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740" w:right="300" w:hanging="327"/>
        <w:spacing w:after="0" w:line="263" w:lineRule="auto"/>
        <w:tabs>
          <w:tab w:leader="none" w:pos="7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40" w:right="620" w:hanging="327"/>
        <w:spacing w:after="0" w:line="263" w:lineRule="auto"/>
        <w:tabs>
          <w:tab w:leader="none" w:pos="73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740" w:right="780" w:hanging="327"/>
        <w:spacing w:after="0" w:line="342" w:lineRule="auto"/>
        <w:tabs>
          <w:tab w:leader="none" w:pos="737"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hanging="327"/>
        <w:spacing w:after="0" w:line="263" w:lineRule="auto"/>
        <w:tabs>
          <w:tab w:leader="none" w:pos="73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200" w:hanging="327"/>
        <w:spacing w:after="0" w:line="277" w:lineRule="auto"/>
        <w:tabs>
          <w:tab w:leader="none" w:pos="7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160" w:hanging="327"/>
        <w:spacing w:after="0" w:line="277" w:lineRule="auto"/>
        <w:tabs>
          <w:tab w:leader="none" w:pos="73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April 29,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Rohit Kapoor</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Rohit Kapoor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Vice-Chairman and Chief Executive Officer</w:t>
            </w:r>
          </w:p>
        </w:tc>
      </w:tr>
    </w:tbl>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Maurizio Nicolelli, certify that:</w:t>
      </w:r>
    </w:p>
    <w:p>
      <w:pPr>
        <w:spacing w:after="0" w:line="347" w:lineRule="exact"/>
        <w:rPr>
          <w:sz w:val="20"/>
          <w:szCs w:val="20"/>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740" w:right="300" w:hanging="327"/>
        <w:spacing w:after="0" w:line="263" w:lineRule="auto"/>
        <w:tabs>
          <w:tab w:leader="none" w:pos="73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40" w:right="620" w:hanging="327"/>
        <w:spacing w:after="0" w:line="263" w:lineRule="auto"/>
        <w:tabs>
          <w:tab w:leader="none" w:pos="73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740" w:right="780" w:hanging="327"/>
        <w:spacing w:after="0" w:line="342" w:lineRule="auto"/>
        <w:tabs>
          <w:tab w:leader="none" w:pos="73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hanging="327"/>
        <w:spacing w:after="0" w:line="263" w:lineRule="auto"/>
        <w:tabs>
          <w:tab w:leader="none" w:pos="73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200" w:hanging="327"/>
        <w:spacing w:after="0" w:line="277" w:lineRule="auto"/>
        <w:tabs>
          <w:tab w:leader="none" w:pos="73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160" w:hanging="327"/>
        <w:spacing w:after="0" w:line="277" w:lineRule="auto"/>
        <w:tabs>
          <w:tab w:leader="none" w:pos="73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April 29,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Maurizio Nicolelli</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Maurizio Nicolelli</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85" w:name="page86"/>
    <w:bookmarkEnd w:id="85"/>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March 31, 2021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750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Rohit Kapoor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Vice-Chairman and Chief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29, 2021</w:t>
      </w:r>
    </w:p>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March 31, 2021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886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Maurizio Nicolelli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29,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9"/>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1)"/>
      <w:numFmt w:val="lowerLetter"/>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04"/>
    </w:lvl>
  </w:abstractNum>
  <w:abstractNum w:abstractNumId="15">
    <w:nsid w:val="2D517796"/>
    <w:multiLevelType w:val="hybridMultilevel"/>
    <w:lvl w:ilvl="0">
      <w:lvlJc w:val="left"/>
      <w:lvlText w:val="%1"/>
      <w:numFmt w:val="decimal"/>
      <w:start w:val="1"/>
    </w:lvl>
    <w:lvl w:ilvl="1">
      <w:lvlJc w:val="left"/>
      <w:lvlText w:val="%2."/>
      <w:numFmt w:val="decimal"/>
      <w:start w:val="1"/>
    </w:lvl>
  </w:abstractNum>
  <w:abstractNum w:abstractNumId="16">
    <w:nsid w:val="580BD78F"/>
    <w:multiLevelType w:val="hybridMultilevel"/>
    <w:lvl w:ilvl="0">
      <w:lvlJc w:val="left"/>
      <w:lvlText w:val="%1."/>
      <w:numFmt w:val="decimal"/>
      <w:start w:val="1"/>
    </w:lvl>
    <w:lvl w:ilvl="1">
      <w:lvlJc w:val="left"/>
      <w:lvlText w:val="%2"/>
      <w:numFmt w:val="decimal"/>
      <w:start w:val="1"/>
    </w:lvl>
  </w:abstractNum>
  <w:abstractNum w:abstractNumId="17">
    <w:nsid w:val="153EA438"/>
    <w:multiLevelType w:val="hybridMultilevel"/>
    <w:lvl w:ilvl="0">
      <w:lvlJc w:val="left"/>
      <w:lvlText w:val="%1."/>
      <w:numFmt w:val="decimal"/>
      <w:start w:val="1"/>
    </w:lvl>
    <w:lvl w:ilvl="1">
      <w:lvlJc w:val="left"/>
      <w:lvlText w:val="%2."/>
      <w:numFmt w:val="decimal"/>
      <w:start w:val="1"/>
    </w:lvl>
  </w:abstractNum>
  <w:abstractNum w:abstractNumId="18">
    <w:nsid w:val="3855585C"/>
    <w:multiLevelType w:val="hybridMultilevel"/>
    <w:lvl w:ilvl="0">
      <w:lvlJc w:val="left"/>
      <w:lvlText w:val="%1."/>
      <w:numFmt w:val="decimal"/>
      <w:start w:val="2"/>
    </w:lvl>
    <w:lvl w:ilvl="1">
      <w:lvlJc w:val="left"/>
      <w:lvlText w:val="(%2)"/>
      <w:numFmt w:val="upperLetter"/>
      <w:start w:val="2"/>
    </w:lvl>
    <w:lvl w:ilvl="2">
      <w:lvlJc w:val="left"/>
      <w:lvlText w:val="(%3)"/>
      <w:numFmt w:val="upperLetter"/>
      <w:start w:val="2"/>
    </w:lvl>
  </w:abstractNum>
  <w:abstractNum w:abstractNumId="19">
    <w:nsid w:val="70A64E2A"/>
    <w:multiLevelType w:val="hybridMultilevel"/>
    <w:lvl w:ilvl="0">
      <w:lvlJc w:val="left"/>
      <w:lvlText w:val="%1."/>
      <w:numFmt w:val="decimal"/>
      <w:start w:val="3"/>
    </w:lvl>
  </w:abstractNum>
  <w:abstractNum w:abstractNumId="20">
    <w:nsid w:val="6A2342EC"/>
    <w:multiLevelType w:val="hybridMultilevel"/>
    <w:lvl w:ilvl="0">
      <w:lvlJc w:val="left"/>
      <w:lvlText w:val="%1."/>
      <w:numFmt w:val="decimal"/>
      <w:start w:val="2"/>
    </w:lvl>
    <w:lvl w:ilvl="1">
      <w:lvlJc w:val="left"/>
      <w:lvlText w:val="%2."/>
      <w:numFmt w:val="decimal"/>
      <w:start w:val="5"/>
    </w:lvl>
    <w:lvl w:ilvl="2">
      <w:lvlJc w:val="left"/>
      <w:lvlText w:val="(%3)"/>
      <w:numFmt w:val="upperLetter"/>
      <w:start w:val="1"/>
    </w:lvl>
  </w:abstractNum>
  <w:abstractNum w:abstractNumId="21">
    <w:nsid w:val="2A487CB0"/>
    <w:multiLevelType w:val="hybridMultilevel"/>
    <w:lvl w:ilvl="0">
      <w:lvlJc w:val="left"/>
      <w:lvlText w:val="%1"/>
      <w:numFmt w:val="lowerRoman"/>
      <w:start w:val="1"/>
    </w:lvl>
    <w:lvl w:ilvl="1">
      <w:lvlJc w:val="left"/>
      <w:lvlText w:val="(%2)"/>
      <w:numFmt w:val="upperLetter"/>
      <w:start w:val="2"/>
    </w:lvl>
  </w:abstractNum>
  <w:abstractNum w:abstractNumId="22">
    <w:nsid w:val="1D4ED43B"/>
    <w:multiLevelType w:val="hybridMultilevel"/>
    <w:lvl w:ilvl="0">
      <w:lvlJc w:val="left"/>
      <w:lvlText w:val="(%1)"/>
      <w:numFmt w:val="lowerRoman"/>
      <w:start w:val="2"/>
    </w:lvl>
    <w:lvl w:ilvl="1">
      <w:lvlJc w:val="left"/>
      <w:lvlText w:val="%2"/>
      <w:numFmt w:val="upperLetter"/>
      <w:start w:val="1"/>
    </w:lvl>
  </w:abstractNum>
  <w:abstractNum w:abstractNumId="23">
    <w:nsid w:val="725A06FB"/>
    <w:multiLevelType w:val="hybridMultilevel"/>
    <w:lvl w:ilvl="0">
      <w:lvlJc w:val="left"/>
      <w:lvlText w:val="%1."/>
      <w:numFmt w:val="decimal"/>
      <w:start w:val="7"/>
    </w:lvl>
  </w:abstractNum>
  <w:abstractNum w:abstractNumId="24">
    <w:nsid w:val="2CD89A32"/>
    <w:multiLevelType w:val="hybridMultilevel"/>
    <w:lvl w:ilvl="0">
      <w:lvlJc w:val="left"/>
      <w:lvlText w:val="%1"/>
      <w:numFmt w:val="decimal"/>
      <w:start w:val="1"/>
    </w:lvl>
    <w:lvl w:ilvl="1">
      <w:lvlJc w:val="left"/>
      <w:lvlText w:val="(%2)"/>
      <w:numFmt w:val="upperLetter"/>
      <w:start w:val="1"/>
    </w:lvl>
  </w:abstractNum>
  <w:abstractNum w:abstractNumId="25">
    <w:nsid w:val="57E4CCAF"/>
    <w:multiLevelType w:val="hybridMultilevel"/>
    <w:lvl w:ilvl="0">
      <w:lvlJc w:val="left"/>
      <w:lvlText w:val="%1."/>
      <w:numFmt w:val="decimal"/>
      <w:start w:val="8"/>
    </w:lvl>
    <w:lvl w:ilvl="1">
      <w:lvlJc w:val="left"/>
      <w:lvlText w:val="%2"/>
      <w:numFmt w:val="upperLetter"/>
      <w:start w:val="1"/>
    </w:lvl>
  </w:abstractNum>
  <w:abstractNum w:abstractNumId="26">
    <w:nsid w:val="7A6D8D3C"/>
    <w:multiLevelType w:val="hybridMultilevel"/>
    <w:lvl w:ilvl="0">
      <w:lvlJc w:val="left"/>
      <w:lvlText w:val="%1"/>
      <w:numFmt w:val="decimal"/>
      <w:start w:val="1"/>
    </w:lvl>
    <w:lvl w:ilvl="1">
      <w:lvlJc w:val="left"/>
      <w:lvlText w:val="%2."/>
      <w:numFmt w:val="decimal"/>
      <w:start w:val="3"/>
    </w:lvl>
  </w:abstractNum>
  <w:abstractNum w:abstractNumId="27">
    <w:nsid w:val="4B588F54"/>
    <w:multiLevelType w:val="hybridMultilevel"/>
    <w:lvl w:ilvl="0">
      <w:lvlJc w:val="left"/>
      <w:lvlText w:val="%1."/>
      <w:numFmt w:val="decimal"/>
      <w:start w:val="4"/>
    </w:lvl>
    <w:lvl w:ilvl="1">
      <w:lvlJc w:val="left"/>
      <w:lvlText w:val="%2."/>
      <w:numFmt w:val="decimal"/>
      <w:start w:val="4"/>
    </w:lvl>
  </w:abstractNum>
  <w:abstractNum w:abstractNumId="28">
    <w:nsid w:val="542289EC"/>
    <w:multiLevelType w:val="hybridMultilevel"/>
    <w:lvl w:ilvl="0">
      <w:lvlJc w:val="left"/>
      <w:lvlText w:val="%1"/>
      <w:numFmt w:val="decimal"/>
      <w:start w:val="1"/>
    </w:lvl>
    <w:lvl w:ilvl="1">
      <w:lvlJc w:val="left"/>
      <w:lvlText w:val="%2."/>
      <w:numFmt w:val="decimal"/>
      <w:start w:val="5"/>
    </w:lvl>
  </w:abstractNum>
  <w:abstractNum w:abstractNumId="29">
    <w:nsid w:val="6DE91B18"/>
    <w:multiLevelType w:val="hybridMultilevel"/>
    <w:lvl w:ilvl="0">
      <w:lvlJc w:val="left"/>
      <w:lvlText w:val="%1."/>
      <w:numFmt w:val="decimal"/>
      <w:start w:val="5"/>
    </w:lvl>
    <w:lvl w:ilvl="1">
      <w:lvlJc w:val="left"/>
      <w:lvlText w:val="%2."/>
      <w:numFmt w:val="decimal"/>
      <w:start w:val="10"/>
    </w:lvl>
  </w:abstractNum>
  <w:abstractNum w:abstractNumId="30">
    <w:nsid w:val="38437FDB"/>
    <w:multiLevelType w:val="hybridMultilevel"/>
    <w:lvl w:ilvl="0">
      <w:lvlJc w:val="left"/>
      <w:lvlText w:val="%1."/>
      <w:numFmt w:val="decimal"/>
      <w:start w:val="11"/>
    </w:lvl>
  </w:abstractNum>
  <w:abstractNum w:abstractNumId="31">
    <w:nsid w:val="7644A45C"/>
    <w:multiLevelType w:val="hybridMultilevel"/>
    <w:lvl w:ilvl="0">
      <w:lvlJc w:val="left"/>
      <w:lvlText w:val="%1."/>
      <w:numFmt w:val="decimal"/>
      <w:start w:val="6"/>
    </w:lvl>
  </w:abstractNum>
  <w:abstractNum w:abstractNumId="32">
    <w:nsid w:val="32FFF902"/>
    <w:multiLevelType w:val="hybridMultilevel"/>
    <w:lvl w:ilvl="0">
      <w:lvlJc w:val="left"/>
      <w:lvlText w:val="%1."/>
      <w:numFmt w:val="decimal"/>
      <w:start w:val="14"/>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1)"/>
      <w:numFmt w:val="lowerLetter"/>
      <w:start w:val="2"/>
    </w:lvl>
    <w:lvl w:ilvl="1">
      <w:lvlJc w:val="left"/>
      <w:lvlText w:val="(%2)"/>
      <w:numFmt w:val="upperLetter"/>
      <w:start w:val="2"/>
    </w:lvl>
    <w:lvl w:ilvl="2">
      <w:lvlJc w:val="left"/>
      <w:lvlText w:val="(%3)"/>
      <w:numFmt w:val="upperLetter"/>
      <w:start w:val="2"/>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1"/>
    </w:lvl>
    <w:lvl w:ilvl="1">
      <w:lvlJc w:val="left"/>
      <w:lvlText w:val="%2."/>
      <w:numFmt w:val="decimal"/>
      <w:start w:val="3"/>
    </w:lvl>
    <w:lvl w:ilvl="2">
      <w:lvlJc w:val="left"/>
      <w:lvlText w:val="(%3)"/>
      <w:numFmt w:val="upperLetter"/>
      <w:start w:val="1"/>
    </w:lvl>
  </w:abstractNum>
  <w:abstractNum w:abstractNumId="38">
    <w:nsid w:val="79A1DEAA"/>
    <w:multiLevelType w:val="hybridMultilevel"/>
    <w:lvl w:ilvl="0">
      <w:lvlJc w:val="left"/>
      <w:lvlText w:val="%1"/>
      <w:numFmt w:val="lowerRoman"/>
      <w:start w:val="1"/>
    </w:lvl>
    <w:lvl w:ilvl="1">
      <w:lvlJc w:val="left"/>
      <w:lvlText w:val="(%2)"/>
      <w:numFmt w:val="upperLetter"/>
      <w:start w:val="3"/>
    </w:lvl>
  </w:abstractNum>
  <w:abstractNum w:abstractNumId="39">
    <w:nsid w:val="75C6C33A"/>
    <w:multiLevelType w:val="hybridMultilevel"/>
    <w:lvl w:ilvl="0">
      <w:lvlJc w:val="left"/>
      <w:lvlText w:val="(%1)"/>
      <w:numFmt w:val="lowerRoman"/>
      <w:start w:val="2"/>
    </w:lvl>
    <w:lvl w:ilvl="1">
      <w:lvlJc w:val="left"/>
      <w:lvlText w:val="%2"/>
      <w:numFmt w:val="upperLetter"/>
      <w:start w:val="1"/>
    </w:lvl>
  </w:abstractNum>
  <w:abstractNum w:abstractNumId="40">
    <w:nsid w:val="12E685FB"/>
    <w:multiLevelType w:val="hybridMultilevel"/>
    <w:lvl w:ilvl="0">
      <w:lvlJc w:val="left"/>
      <w:lvlText w:val="%1."/>
      <w:numFmt w:val="decimal"/>
      <w:start w:val="5"/>
    </w:lvl>
  </w:abstractNum>
  <w:abstractNum w:abstractNumId="41">
    <w:nsid w:val="70C6A529"/>
    <w:multiLevelType w:val="hybridMultilevel"/>
    <w:lvl w:ilvl="0">
      <w:lvlJc w:val="left"/>
      <w:lvlText w:val="%1"/>
      <w:numFmt w:val="decimal"/>
      <w:start w:val="1"/>
    </w:lvl>
    <w:lvl w:ilvl="1">
      <w:lvlJc w:val="left"/>
      <w:lvlText w:val="(%2)"/>
      <w:numFmt w:val="upperLetter"/>
      <w:start w:val="1"/>
    </w:lvl>
  </w:abstractNum>
  <w:abstractNum w:abstractNumId="42">
    <w:nsid w:val="520EEDD1"/>
    <w:multiLevelType w:val="hybridMultilevel"/>
    <w:lvl w:ilvl="0">
      <w:lvlJc w:val="left"/>
      <w:lvlText w:val="%1."/>
      <w:numFmt w:val="decimal"/>
      <w:start w:val="6"/>
    </w:lvl>
    <w:lvl w:ilvl="1">
      <w:lvlJc w:val="left"/>
      <w:lvlText w:val="%2"/>
      <w:numFmt w:val="upperLetter"/>
      <w:start w:val="1"/>
    </w:lvl>
  </w:abstractNum>
  <w:abstractNum w:abstractNumId="43">
    <w:nsid w:val="374A3FE6"/>
    <w:multiLevelType w:val="hybridMultilevel"/>
    <w:lvl w:ilvl="0">
      <w:lvlJc w:val="left"/>
      <w:lvlText w:val="%1"/>
      <w:numFmt w:val="decimal"/>
      <w:start w:val="1"/>
    </w:lvl>
    <w:lvl w:ilvl="1">
      <w:lvlJc w:val="left"/>
      <w:lvlText w:val="%2."/>
      <w:numFmt w:val="decimal"/>
      <w:start w:val="2"/>
    </w:lvl>
  </w:abstractNum>
  <w:abstractNum w:abstractNumId="44">
    <w:nsid w:val="4F4EF005"/>
    <w:multiLevelType w:val="hybridMultilevel"/>
    <w:lvl w:ilvl="0">
      <w:lvlJc w:val="left"/>
      <w:lvlText w:val="%1."/>
      <w:numFmt w:val="decimal"/>
      <w:start w:val="4"/>
    </w:lvl>
    <w:lvl w:ilvl="1">
      <w:lvlJc w:val="left"/>
      <w:lvlText w:val="%2."/>
      <w:numFmt w:val="decimal"/>
      <w:start w:val="3"/>
    </w:lvl>
  </w:abstractNum>
  <w:abstractNum w:abstractNumId="45">
    <w:nsid w:val="23F9C13C"/>
    <w:multiLevelType w:val="hybridMultilevel"/>
    <w:lvl w:ilvl="0">
      <w:lvlJc w:val="left"/>
      <w:lvlText w:val="%1."/>
      <w:numFmt w:val="decimal"/>
      <w:start w:val="4"/>
    </w:lvl>
  </w:abstractNum>
  <w:abstractNum w:abstractNumId="46">
    <w:nsid w:val="649BB77C"/>
    <w:multiLevelType w:val="hybridMultilevel"/>
    <w:lvl w:ilvl="0">
      <w:lvlJc w:val="left"/>
      <w:lvlText w:val="%1."/>
      <w:numFmt w:val="decimal"/>
      <w:start w:val="6"/>
    </w:lvl>
  </w:abstractNum>
  <w:abstractNum w:abstractNumId="47">
    <w:nsid w:val="275AC794"/>
    <w:multiLevelType w:val="hybridMultilevel"/>
    <w:lvl w:ilvl="0">
      <w:lvlJc w:val="left"/>
      <w:lvlText w:val="%1"/>
      <w:numFmt w:val="decimal"/>
      <w:start w:val="1"/>
    </w:lvl>
    <w:lvl w:ilvl="1">
      <w:lvlJc w:val="left"/>
      <w:lvlText w:val="%2."/>
      <w:numFmt w:val="decimal"/>
      <w:start w:val="8"/>
    </w:lvl>
  </w:abstractNum>
  <w:abstractNum w:abstractNumId="48">
    <w:nsid w:val="39386575"/>
    <w:multiLevelType w:val="hybridMultilevel"/>
    <w:lvl w:ilvl="0">
      <w:lvlJc w:val="left"/>
      <w:lvlText w:val="%1."/>
      <w:numFmt w:val="decimal"/>
      <w:start w:val="5"/>
    </w:lvl>
    <w:lvl w:ilvl="1">
      <w:lvlJc w:val="left"/>
      <w:lvlText w:val="%2."/>
      <w:numFmt w:val="decimal"/>
      <w:start w:val="9"/>
    </w:lvl>
  </w:abstractNum>
  <w:abstractNum w:abstractNumId="49">
    <w:nsid w:val="1CF10FD8"/>
    <w:multiLevelType w:val="hybridMultilevel"/>
    <w:lvl w:ilvl="0">
      <w:lvlJc w:val="left"/>
      <w:lvlText w:val="%1."/>
      <w:numFmt w:val="decimal"/>
      <w:start w:val="6"/>
    </w:lvl>
  </w:abstractNum>
  <w:abstractNum w:abstractNumId="50">
    <w:nsid w:val="180115BE"/>
    <w:multiLevelType w:val="hybridMultilevel"/>
    <w:lvl w:ilvl="0">
      <w:lvlJc w:val="left"/>
      <w:lvlText w:val="%1."/>
      <w:numFmt w:val="decimal"/>
      <w:start w:val="10"/>
    </w:lvl>
    <w:lvl w:ilvl="1">
      <w:lvlJc w:val="left"/>
      <w:lvlText w:val="(%2)"/>
      <w:numFmt w:val="lowerLetter"/>
      <w:start w:val="1"/>
    </w:lvl>
  </w:abstractNum>
  <w:abstractNum w:abstractNumId="51">
    <w:nsid w:val="235BA861"/>
    <w:multiLevelType w:val="hybridMultilevel"/>
    <w:lvl w:ilvl="0">
      <w:lvlJc w:val="left"/>
      <w:lvlText w:val="%1"/>
      <w:numFmt w:val="decimal"/>
      <w:start w:val="1"/>
    </w:lvl>
    <w:lvl w:ilvl="1">
      <w:lvlJc w:val="left"/>
      <w:lvlText w:val="(%2)"/>
      <w:numFmt w:val="lowerLetter"/>
      <w:start w:val="9"/>
    </w:lvl>
  </w:abstractNum>
  <w:abstractNum w:abstractNumId="52">
    <w:nsid w:val="47398C89"/>
    <w:multiLevelType w:val="hybridMultilevel"/>
    <w:lvl w:ilvl="0">
      <w:lvlJc w:val="left"/>
      <w:lvlText w:val="%1."/>
      <w:numFmt w:val="decimal"/>
      <w:start w:val="1"/>
    </w:lvl>
    <w:lvl w:ilvl="1">
      <w:lvlJc w:val="left"/>
      <w:lvlText w:val="%2"/>
      <w:numFmt w:val="lowerLetter"/>
      <w:start w:val="1"/>
    </w:lvl>
  </w:abstractNum>
  <w:abstractNum w:abstractNumId="53">
    <w:nsid w:val="354FE9F9"/>
    <w:multiLevelType w:val="hybridMultilevel"/>
    <w:lvl w:ilvl="0">
      <w:lvlJc w:val="left"/>
      <w:lvlText w:val="%1."/>
      <w:numFmt w:val="decimal"/>
      <w:start w:val="7"/>
    </w:lvl>
    <w:lvl w:ilvl="1">
      <w:lvlJc w:val="left"/>
      <w:lvlText w:val="%2."/>
      <w:numFmt w:val="decimal"/>
      <w:start w:val="8"/>
    </w:lvl>
  </w:abstractNum>
  <w:abstractNum w:abstractNumId="54">
    <w:nsid w:val="15B5AF5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55">
    <w:nsid w:val="741226BB"/>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56">
    <w:nsid w:val="D34B6A8"/>
    <w:multiLevelType w:val="hybridMultilevel"/>
    <w:lvl w:ilvl="0">
      <w:lvlJc w:val="left"/>
      <w:lvlText w:val="%1."/>
      <w:numFmt w:val="decimal"/>
      <w:start w:val="6"/>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decimal"/>
      <w:start w:val="3"/>
    </w:lvl>
  </w:abstractNum>
  <w:abstractNum w:abstractNumId="59">
    <w:nsid w:val="61574095"/>
    <w:multiLevelType w:val="hybridMultilevel"/>
    <w:lvl w:ilvl="0">
      <w:lvlJc w:val="left"/>
      <w:lvlText w:val="%1."/>
      <w:numFmt w:val="decimal"/>
      <w:start w:val="7"/>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lowerLetter"/>
      <w:start w:val="1"/>
    </w:lvl>
  </w:abstractNum>
  <w:abstractNum w:abstractNumId="63">
    <w:nsid w:val="310C50B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91" Type="http://schemas.openxmlformats.org/officeDocument/2006/relationships/hyperlink" Target="http://www.sec.gov/Archives/edgar/data/1297989/000119312506214684/dex31.htm" TargetMode="External"/><Relationship Id="rId92" Type="http://schemas.openxmlformats.org/officeDocument/2006/relationships/hyperlink" Target="http://www.sec.gov/Archives/edgar/data/1297989/000104746919002609/a2238453zdef14a.htm" TargetMode="External"/><Relationship Id="rId93" Type="http://schemas.openxmlformats.org/officeDocument/2006/relationships/hyperlink" Target="http://www.sec.gov/Archives/edgar/data/1297989/000114420419031504/tv523830_ex3-2.htm" TargetMode="External"/><Relationship Id="rId94" Type="http://schemas.openxmlformats.org/officeDocument/2006/relationships/hyperlink" Target="https://www.sec.gov/Archives/edgar/data/1297989/000110465921051962/tm211337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2021-04-29T17:04:40Z</dcterms:created>
  <dcterms:modified xsi:type="dcterms:W3CDTF">2021-04-29T17:04:40Z</dcterms:modified>
</cp:coreProperties>
</file>