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182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1824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54"/>
        <w:spacing w:after="0"/>
        <w:rPr>
          <w:sz w:val="20"/>
          <w:szCs w:val="20"/>
          <w:color w:val="auto"/>
        </w:rPr>
      </w:pPr>
      <w:r>
        <w:rPr>
          <w:rFonts w:ascii="Times New Roman" w:cs="Times New Roman" w:eastAsia="Times New Roman" w:hAnsi="Times New Roman"/>
          <w:sz w:val="17"/>
          <w:szCs w:val="17"/>
          <w:color w:val="0000FF"/>
        </w:rPr>
        <w:t>President &amp; Head of Insurance</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9,175</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151,783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3,579</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148,204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5,435</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153,639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2,120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151,519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4,400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155,919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1,716</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154,203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9,175</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9,175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5,435</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5,435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5,435</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4,400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4,400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8,800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7,340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became vested on February 17, 2024, and the remaining balance of 25 percent of the restricted stock units became vested on February 17, 2025.</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4,348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became vested on February 16, 2025, and the remaining balance of 25 of the restricted stock units will vest on February 16, 2026.</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3,520 (pre-split) restricted stock units, vesting in four equal annual installments beginning on the first anniversary of the grant date. 25 percent of the restricted stock units became vested on February 15, 2024, an additional 25 percent of the restricted stock units became vested on February 15, 2025, an additional 25 percent of the restricted stock units will vest on February 15, 2026, and the remaining balance of 25 of the restricted stock units will vest on February 15, 2027.</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02/20/2025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2025-02-20T16:56:59Z</dcterms:created>
  <dcterms:modified xsi:type="dcterms:W3CDTF">2025-02-20T16:56:59Z</dcterms:modified>
</cp:coreProperties>
</file>