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821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2155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Bhalla Vikas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02/15/2023</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614"/>
        <w:spacing w:after="0"/>
        <w:rPr>
          <w:sz w:val="20"/>
          <w:szCs w:val="20"/>
          <w:color w:val="auto"/>
        </w:rPr>
      </w:pPr>
      <w:r>
        <w:rPr>
          <w:rFonts w:ascii="Times New Roman" w:cs="Times New Roman" w:eastAsia="Times New Roman" w:hAnsi="Times New Roman"/>
          <w:sz w:val="17"/>
          <w:szCs w:val="17"/>
          <w:color w:val="0000FF"/>
        </w:rPr>
        <w:t>EVP &amp; Head of Outsourcing</w:t>
      </w:r>
    </w:p>
    <w:p>
      <w:pPr>
        <w:spacing w:after="0" w:line="31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3,520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02/15/2023</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3,520</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3,520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15, 2024. Vesting will be accelerated upon certain termination of employment events and upon a "Change in Control" (as defined in the ExlService Holdings, Inc. 2018 Omnibus Incentive Plan).</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480"/>
        <w:spacing w:after="0" w:line="243" w:lineRule="auto"/>
        <w:rPr>
          <w:sz w:val="20"/>
          <w:szCs w:val="20"/>
          <w:color w:val="auto"/>
        </w:rPr>
      </w:pPr>
      <w:r>
        <w:rPr>
          <w:rFonts w:ascii="Times New Roman" w:cs="Times New Roman" w:eastAsia="Times New Roman" w:hAnsi="Times New Roman"/>
          <w:sz w:val="13"/>
          <w:szCs w:val="13"/>
          <w:color w:val="008000"/>
        </w:rPr>
        <w:t>Note: On February 15, 2023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2"/>
          <w:szCs w:val="32"/>
          <w:color w:val="0000FF"/>
          <w:vertAlign w:val="subscript"/>
        </w:rPr>
        <w:t>02/17/2023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2023-02-17T17:04:57Z</dcterms:created>
  <dcterms:modified xsi:type="dcterms:W3CDTF">2023-02-17T17:04:57Z</dcterms:modified>
</cp:coreProperties>
</file>