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ind w:left="3180"/>
        <w:spacing w:after="0"/>
        <w:rPr>
          <w:sz w:val="20"/>
          <w:szCs w:val="20"/>
          <w:color w:val="auto"/>
        </w:rPr>
      </w:pPr>
      <w:r>
        <w:rPr>
          <w:rFonts w:ascii="Arial" w:cs="Arial" w:eastAsia="Arial" w:hAnsi="Arial"/>
          <w:sz w:val="16"/>
          <w:szCs w:val="16"/>
          <w:b w:val="1"/>
          <w:bCs w:val="1"/>
          <w:color w:val="auto"/>
        </w:rPr>
        <w:t>Pursuant to Sections 13 or 15(d) of the Securities Exchange Act of 1934</w:t>
      </w:r>
    </w:p>
    <w:p>
      <w:pPr>
        <w:spacing w:after="0" w:line="63" w:lineRule="exact"/>
        <w:rPr>
          <w:sz w:val="24"/>
          <w:szCs w:val="24"/>
          <w:color w:val="auto"/>
        </w:rPr>
      </w:pPr>
    </w:p>
    <w:p>
      <w:pPr>
        <w:ind w:left="3580"/>
        <w:spacing w:after="0"/>
        <w:rPr>
          <w:sz w:val="20"/>
          <w:szCs w:val="20"/>
          <w:color w:val="auto"/>
        </w:rPr>
      </w:pPr>
      <w:r>
        <w:rPr>
          <w:rFonts w:ascii="Arial" w:cs="Arial" w:eastAsia="Arial" w:hAnsi="Arial"/>
          <w:sz w:val="16"/>
          <w:szCs w:val="16"/>
          <w:color w:val="auto"/>
        </w:rPr>
        <w:t>Date of Report (Date of earliest event reported): April 28, 2022</w:t>
      </w:r>
    </w:p>
    <w:p>
      <w:pPr>
        <w:spacing w:after="0" w:line="51" w:lineRule="exact"/>
        <w:rPr>
          <w:sz w:val="24"/>
          <w:szCs w:val="24"/>
          <w:color w:val="auto"/>
        </w:rPr>
      </w:pPr>
    </w:p>
    <w:p>
      <w:pPr>
        <w:ind w:left="30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EXLSERVICE HOLDINGS,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1240"/>
          </w:cols>
          <w:pgMar w:left="320" w:top="1174" w:right="339" w:bottom="1440" w:gutter="0" w:footer="0" w:header="0"/>
        </w:sectPr>
      </w:pPr>
    </w:p>
    <w:p>
      <w:pPr>
        <w:spacing w:after="0" w:line="127" w:lineRule="exact"/>
        <w:rPr>
          <w:sz w:val="24"/>
          <w:szCs w:val="24"/>
          <w:color w:val="auto"/>
        </w:rPr>
      </w:pPr>
    </w:p>
    <w:p>
      <w:pPr>
        <w:ind w:left="1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2300"/>
        <w:spacing w:after="0"/>
        <w:rPr>
          <w:sz w:val="20"/>
          <w:szCs w:val="20"/>
          <w:color w:val="auto"/>
        </w:rPr>
      </w:pPr>
      <w:r>
        <w:rPr>
          <w:rFonts w:ascii="Arial" w:cs="Arial" w:eastAsia="Arial" w:hAnsi="Arial"/>
          <w:sz w:val="14"/>
          <w:szCs w:val="14"/>
          <w:b w:val="1"/>
          <w:bCs w:val="1"/>
          <w:color w:val="auto"/>
        </w:rPr>
        <w:t>001-33089</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82-0572194</w:t>
      </w:r>
    </w:p>
    <w:p>
      <w:pPr>
        <w:spacing w:after="0" w:line="51" w:lineRule="exact"/>
        <w:rPr>
          <w:sz w:val="24"/>
          <w:szCs w:val="24"/>
          <w:color w:val="auto"/>
        </w:rPr>
      </w:pPr>
    </w:p>
    <w:p>
      <w:pPr>
        <w:sectPr>
          <w:pgSz w:w="11900" w:h="16838" w:orient="portrait"/>
          <w:cols w:equalWidth="0" w:num="3">
            <w:col w:w="4540" w:space="720"/>
            <w:col w:w="3000" w:space="720"/>
            <w:col w:w="2260"/>
          </w:cols>
          <w:pgMar w:left="320" w:top="1174" w:right="339" w:bottom="1440" w:gutter="0" w:footer="0" w:header="0"/>
          <w:type w:val="continuous"/>
        </w:sectPr>
      </w:pPr>
    </w:p>
    <w:p>
      <w:pPr>
        <w:jc w:val="center"/>
        <w:ind w:right="260"/>
        <w:spacing w:after="0"/>
        <w:rPr>
          <w:sz w:val="20"/>
          <w:szCs w:val="20"/>
          <w:color w:val="auto"/>
        </w:rPr>
      </w:pPr>
      <w:r>
        <w:rPr>
          <w:rFonts w:ascii="Arial" w:cs="Arial" w:eastAsia="Arial" w:hAnsi="Arial"/>
          <w:sz w:val="16"/>
          <w:szCs w:val="16"/>
          <w:color w:val="auto"/>
        </w:rPr>
        <w:t>(State or other jurisdiction</w:t>
      </w:r>
    </w:p>
    <w:p>
      <w:pPr>
        <w:jc w:val="center"/>
        <w:ind w:right="260"/>
        <w:spacing w:after="0"/>
        <w:rPr>
          <w:sz w:val="20"/>
          <w:szCs w:val="20"/>
          <w:color w:val="auto"/>
        </w:rPr>
      </w:pPr>
      <w:r>
        <w:rPr>
          <w:rFonts w:ascii="Arial" w:cs="Arial" w:eastAsia="Arial" w:hAnsi="Arial"/>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5"/>
          <w:szCs w:val="15"/>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3">
            <w:col w:w="4000" w:space="720"/>
            <w:col w:w="3320" w:space="720"/>
            <w:col w:w="2480"/>
          </w:cols>
          <w:pgMar w:left="320" w:top="1174" w:right="339" w:bottom="1440" w:gutter="0" w:footer="0" w:header="0"/>
          <w:type w:val="continuous"/>
        </w:sectPr>
      </w:pPr>
    </w:p>
    <w:p>
      <w:pPr>
        <w:spacing w:after="0" w:line="190" w:lineRule="exact"/>
        <w:rPr>
          <w:sz w:val="24"/>
          <w:szCs w:val="24"/>
          <w:color w:val="auto"/>
        </w:rPr>
      </w:pPr>
    </w:p>
    <w:p>
      <w:pPr>
        <w:ind w:left="4480"/>
        <w:spacing w:after="0"/>
        <w:rPr>
          <w:sz w:val="20"/>
          <w:szCs w:val="20"/>
          <w:color w:val="auto"/>
        </w:rPr>
      </w:pPr>
      <w:r>
        <w:rPr>
          <w:rFonts w:ascii="Arial" w:cs="Arial" w:eastAsia="Arial" w:hAnsi="Arial"/>
          <w:sz w:val="14"/>
          <w:szCs w:val="14"/>
          <w:b w:val="1"/>
          <w:bCs w:val="1"/>
          <w:color w:val="auto"/>
        </w:rPr>
        <w:t>320 Park Avenue, 29th Floor,</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10022</w:t>
      </w:r>
    </w:p>
    <w:p>
      <w:pPr>
        <w:spacing w:after="0" w:line="55" w:lineRule="exact"/>
        <w:rPr>
          <w:sz w:val="24"/>
          <w:szCs w:val="24"/>
          <w:color w:val="auto"/>
        </w:rPr>
      </w:pPr>
    </w:p>
    <w:p>
      <w:pPr>
        <w:sectPr>
          <w:pgSz w:w="11900" w:h="16838" w:orient="portrait"/>
          <w:cols w:equalWidth="0" w:num="2">
            <w:col w:w="7620" w:space="720"/>
            <w:col w:w="2900"/>
          </w:cols>
          <w:pgMar w:left="320" w:top="1174" w:right="339" w:bottom="1440" w:gutter="0" w:footer="0" w:header="0"/>
          <w:type w:val="continuous"/>
        </w:sectPr>
      </w:pPr>
    </w:p>
    <w:p>
      <w:pPr>
        <w:ind w:left="4960"/>
        <w:spacing w:after="0"/>
        <w:rPr>
          <w:sz w:val="20"/>
          <w:szCs w:val="20"/>
          <w:color w:val="auto"/>
        </w:rPr>
      </w:pPr>
      <w:r>
        <w:rPr>
          <w:rFonts w:ascii="Arial" w:cs="Arial" w:eastAsia="Arial" w:hAnsi="Arial"/>
          <w:sz w:val="15"/>
          <w:szCs w:val="15"/>
          <w:b w:val="1"/>
          <w:bCs w:val="1"/>
          <w:color w:val="auto"/>
        </w:rPr>
        <w:t>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44" w:lineRule="exact"/>
        <w:rPr>
          <w:sz w:val="24"/>
          <w:szCs w:val="24"/>
          <w:color w:val="auto"/>
        </w:rPr>
      </w:pPr>
    </w:p>
    <w:p>
      <w:pPr>
        <w:sectPr>
          <w:pgSz w:w="11900" w:h="16838" w:orient="portrait"/>
          <w:cols w:equalWidth="0" w:num="2">
            <w:col w:w="7480" w:space="720"/>
            <w:col w:w="3040"/>
          </w:cols>
          <w:pgMar w:left="320" w:top="1174" w:right="339" w:bottom="1440" w:gutter="0" w:footer="0" w:header="0"/>
          <w:type w:val="continuous"/>
        </w:sectPr>
      </w:pPr>
    </w:p>
    <w:p>
      <w:pPr>
        <w:ind w:left="4580"/>
        <w:spacing w:after="0"/>
        <w:rPr>
          <w:sz w:val="20"/>
          <w:szCs w:val="20"/>
          <w:color w:val="auto"/>
        </w:rPr>
      </w:pPr>
      <w:r>
        <w:rPr>
          <w:rFonts w:ascii="Arial" w:cs="Arial" w:eastAsia="Arial" w:hAnsi="Arial"/>
          <w:sz w:val="16"/>
          <w:szCs w:val="16"/>
          <w:color w:val="auto"/>
        </w:rPr>
        <w:t>(Address of principal executive offices)</w:t>
      </w:r>
    </w:p>
    <w:p>
      <w:pPr>
        <w:spacing w:after="0" w:line="163"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(212) 277-7100</w:t>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address, if changed since last report)</w:t>
      </w:r>
    </w:p>
    <w:p>
      <w:pPr>
        <w:spacing w:after="0" w:line="3" w:lineRule="exact"/>
        <w:rPr>
          <w:sz w:val="24"/>
          <w:szCs w:val="24"/>
          <w:color w:val="auto"/>
        </w:rPr>
      </w:pPr>
    </w:p>
    <w:p>
      <w:pPr>
        <w:ind w:left="3640"/>
        <w:spacing w:after="0"/>
        <w:rPr>
          <w:sz w:val="20"/>
          <w:szCs w:val="20"/>
          <w:color w:val="auto"/>
        </w:rPr>
      </w:pPr>
      <w:r>
        <w:rPr>
          <w:rFonts w:ascii="Arial" w:cs="Arial" w:eastAsia="Arial" w:hAnsi="Arial"/>
          <w:sz w:val="17"/>
          <w:szCs w:val="17"/>
          <w:b w:val="1"/>
          <w:bCs w:val="1"/>
          <w:color w:val="auto"/>
        </w:rPr>
        <w:t>____________________________________________</w:t>
      </w:r>
    </w:p>
    <w:p>
      <w:pPr>
        <w:sectPr>
          <w:pgSz w:w="11900" w:h="16838" w:orient="portrait"/>
          <w:cols w:equalWidth="0" w:num="1">
            <w:col w:w="11240"/>
          </w:cols>
          <w:pgMar w:left="320" w:top="1174" w:right="339" w:bottom="1440" w:gutter="0" w:footer="0" w:header="0"/>
          <w:type w:val="continuous"/>
        </w:sectPr>
      </w:pP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Written communication pursuant to Rule 425 under the Securities Act (17 CFR 230.425)</w:t>
      </w:r>
    </w:p>
    <w:p>
      <w:pPr>
        <w:spacing w:after="0" w:line="168"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Soliciting material pursuant to Rule 14a-12 under the Exchange Act (17 CFR 240.14a-12)</w:t>
      </w:r>
    </w:p>
    <w:p>
      <w:pPr>
        <w:spacing w:after="0" w:line="168"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Pre-commencement communications pursuant to Rule 14d-2(b) under the Exchange Act (17 CFR 240.14d-2(b))</w:t>
      </w:r>
    </w:p>
    <w:p>
      <w:pPr>
        <w:spacing w:after="0" w:line="155"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Pre-commencement communications pursuant to Rule 13e-4(c) under the Exchange Act (17 CFR 240.13e-4(c))</w:t>
      </w:r>
    </w:p>
    <w:p>
      <w:pPr>
        <w:spacing w:after="0" w:line="38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3"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16"/>
          <w:szCs w:val="16"/>
          <w:color w:val="auto"/>
        </w:rPr>
        <w:t>Emerging growth company</w:t>
      </w:r>
    </w:p>
    <w:p>
      <w:pPr>
        <w:spacing w:after="0" w:line="225" w:lineRule="exact"/>
        <w:rPr>
          <w:rFonts w:ascii="MS PGothic" w:cs="MS PGothic" w:eastAsia="MS PGothic" w:hAnsi="MS PGothic"/>
          <w:sz w:val="22"/>
          <w:szCs w:val="22"/>
          <w:color w:val="auto"/>
        </w:rPr>
      </w:pPr>
    </w:p>
    <w:p>
      <w:pPr>
        <w:ind w:left="620" w:right="480" w:hanging="594"/>
        <w:spacing w:after="0" w:line="217" w:lineRule="auto"/>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72390</wp:posOffset>
            </wp:positionV>
            <wp:extent cx="7123430" cy="7543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754380"/>
                    </a:xfrm>
                    <a:prstGeom prst="rect">
                      <a:avLst/>
                    </a:prstGeom>
                    <a:noFill/>
                  </pic:spPr>
                </pic:pic>
              </a:graphicData>
            </a:graphic>
          </wp:anchor>
        </w:drawing>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491"/>
        </w:trPr>
        <w:tc>
          <w:tcPr>
            <w:tcW w:w="20" w:type="dxa"/>
            <w:vAlign w:val="bottom"/>
          </w:tcPr>
          <w:p>
            <w:pPr>
              <w:spacing w:after="0"/>
              <w:rPr>
                <w:sz w:val="24"/>
                <w:szCs w:val="24"/>
                <w:color w:val="auto"/>
              </w:rPr>
            </w:pPr>
          </w:p>
        </w:tc>
        <w:tc>
          <w:tcPr>
            <w:tcW w:w="3740" w:type="dxa"/>
            <w:vAlign w:val="bottom"/>
            <w:tcBorders>
              <w:bottom w:val="single" w:sz="8" w:color="auto"/>
              <w:right w:val="single" w:sz="8" w:color="auto"/>
            </w:tcBorders>
          </w:tcPr>
          <w:p>
            <w:pPr>
              <w:spacing w:after="0"/>
              <w:rPr>
                <w:sz w:val="24"/>
                <w:szCs w:val="24"/>
                <w:color w:val="auto"/>
              </w:rPr>
            </w:pPr>
          </w:p>
        </w:tc>
        <w:tc>
          <w:tcPr>
            <w:tcW w:w="3240" w:type="dxa"/>
            <w:vAlign w:val="bottom"/>
            <w:tcBorders>
              <w:bottom w:val="single" w:sz="8" w:color="auto"/>
              <w:right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r>
        <w:trPr>
          <w:trHeight w:val="207"/>
        </w:trPr>
        <w:tc>
          <w:tcPr>
            <w:tcW w:w="20" w:type="dxa"/>
            <w:vAlign w:val="bottom"/>
          </w:tcPr>
          <w:p>
            <w:pPr>
              <w:spacing w:after="0"/>
              <w:rPr>
                <w:sz w:val="17"/>
                <w:szCs w:val="17"/>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 per share</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EXLS</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NASDAQ</w:t>
            </w:r>
          </w:p>
        </w:tc>
      </w:tr>
      <w:tr>
        <w:trPr>
          <w:trHeight w:val="361"/>
        </w:trPr>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973"/>
        </w:trPr>
        <w:tc>
          <w:tcPr>
            <w:tcW w:w="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left="100" w:firstLine="648"/>
        <w:spacing w:after="0" w:line="259" w:lineRule="auto"/>
        <w:rPr>
          <w:sz w:val="20"/>
          <w:szCs w:val="20"/>
          <w:color w:val="auto"/>
        </w:rPr>
      </w:pPr>
      <w:r>
        <w:rPr>
          <w:rFonts w:ascii="Arial" w:cs="Arial" w:eastAsia="Arial" w:hAnsi="Arial"/>
          <w:sz w:val="18"/>
          <w:szCs w:val="18"/>
          <w:color w:val="auto"/>
        </w:rPr>
        <w:t>On April 28, 2022, ExlService Holdings, Inc. (the “Company”) reported its results of operations for the three months ended March 31, 2022.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200" w:lineRule="exact"/>
        <w:rPr>
          <w:sz w:val="20"/>
          <w:szCs w:val="20"/>
          <w:color w:val="auto"/>
        </w:rPr>
      </w:pP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escription</w:t>
      </w:r>
    </w:p>
    <w:p>
      <w:pPr>
        <w:spacing w:after="0" w:line="27" w:lineRule="exact"/>
        <w:rPr>
          <w:sz w:val="20"/>
          <w:szCs w:val="20"/>
          <w:color w:val="auto"/>
        </w:rPr>
      </w:pPr>
    </w:p>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ess Release, dated April 28, 2022 (furnished pursuant to Item 2.02).</w:t>
        </w:r>
      </w:hyperlink>
    </w:p>
    <w:p>
      <w:pPr>
        <w:spacing w:after="0" w:line="23" w:lineRule="exact"/>
        <w:rPr>
          <w:sz w:val="20"/>
          <w:szCs w:val="20"/>
          <w:color w:val="auto"/>
        </w:rPr>
      </w:pPr>
    </w:p>
    <w:p>
      <w:pPr>
        <w:ind w:left="2440" w:right="4320" w:hanging="2447"/>
        <w:spacing w:after="0" w:line="234" w:lineRule="auto"/>
        <w:rPr>
          <w:sz w:val="20"/>
          <w:szCs w:val="20"/>
          <w:color w:val="auto"/>
        </w:rPr>
      </w:pPr>
      <w:r>
        <w:rPr>
          <w:rFonts w:ascii="Arial" w:cs="Arial" w:eastAsia="Arial" w:hAnsi="Arial"/>
          <w:sz w:val="18"/>
          <w:szCs w:val="18"/>
          <w:color w:val="auto"/>
        </w:rPr>
        <w:t>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116840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94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8200" w:type="dxa"/>
            <w:vAlign w:val="bottom"/>
            <w:gridSpan w:val="2"/>
          </w:tcPr>
          <w:p>
            <w:pPr>
              <w:ind w:left="196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020" w:type="dxa"/>
            <w:vAlign w:val="bottom"/>
          </w:tcPr>
          <w:p>
            <w:pPr>
              <w:spacing w:after="0"/>
              <w:rPr>
                <w:sz w:val="20"/>
                <w:szCs w:val="20"/>
                <w:color w:val="auto"/>
              </w:rPr>
            </w:pPr>
          </w:p>
        </w:tc>
        <w:tc>
          <w:tcPr>
            <w:tcW w:w="3240" w:type="dxa"/>
            <w:vAlign w:val="bottom"/>
          </w:tcPr>
          <w:p>
            <w:pPr>
              <w:ind w:left="1960"/>
              <w:spacing w:after="0"/>
              <w:rPr>
                <w:sz w:val="20"/>
                <w:szCs w:val="20"/>
                <w:color w:val="auto"/>
              </w:rPr>
            </w:pPr>
            <w:r>
              <w:rPr>
                <w:rFonts w:ascii="Arial" w:cs="Arial" w:eastAsia="Arial" w:hAnsi="Arial"/>
                <w:sz w:val="18"/>
                <w:szCs w:val="18"/>
                <w:color w:val="auto"/>
              </w:rPr>
              <w:t>(Registrant)</w:t>
            </w:r>
          </w:p>
        </w:tc>
        <w:tc>
          <w:tcPr>
            <w:tcW w:w="4960" w:type="dxa"/>
            <w:vAlign w:val="bottom"/>
          </w:tcPr>
          <w:p>
            <w:pPr>
              <w:spacing w:after="0"/>
              <w:rPr>
                <w:sz w:val="20"/>
                <w:szCs w:val="20"/>
                <w:color w:val="auto"/>
              </w:rPr>
            </w:pPr>
          </w:p>
        </w:tc>
      </w:tr>
      <w:tr>
        <w:trPr>
          <w:trHeight w:val="742"/>
        </w:trPr>
        <w:tc>
          <w:tcPr>
            <w:tcW w:w="3020" w:type="dxa"/>
            <w:vAlign w:val="bottom"/>
          </w:tcPr>
          <w:p>
            <w:pPr>
              <w:spacing w:after="0"/>
              <w:rPr>
                <w:sz w:val="20"/>
                <w:szCs w:val="20"/>
                <w:color w:val="auto"/>
              </w:rPr>
            </w:pPr>
            <w:r>
              <w:rPr>
                <w:rFonts w:ascii="Arial" w:cs="Arial" w:eastAsia="Arial" w:hAnsi="Arial"/>
                <w:sz w:val="18"/>
                <w:szCs w:val="18"/>
                <w:color w:val="auto"/>
              </w:rPr>
              <w:t>April 28, 2022</w:t>
            </w:r>
          </w:p>
        </w:tc>
        <w:tc>
          <w:tcPr>
            <w:tcW w:w="3240" w:type="dxa"/>
            <w:vAlign w:val="bottom"/>
          </w:tcPr>
          <w:p>
            <w:pPr>
              <w:ind w:left="1960"/>
              <w:spacing w:after="0"/>
              <w:rPr>
                <w:sz w:val="20"/>
                <w:szCs w:val="20"/>
                <w:color w:val="auto"/>
              </w:rPr>
            </w:pPr>
            <w:r>
              <w:rPr>
                <w:rFonts w:ascii="Arial" w:cs="Arial" w:eastAsia="Arial" w:hAnsi="Arial"/>
                <w:sz w:val="18"/>
                <w:szCs w:val="18"/>
                <w:color w:val="auto"/>
              </w:rPr>
              <w:t>By:</w:t>
            </w:r>
          </w:p>
        </w:tc>
        <w:tc>
          <w:tcPr>
            <w:tcW w:w="4960" w:type="dxa"/>
            <w:vAlign w:val="bottom"/>
          </w:tcPr>
          <w:p>
            <w:pPr>
              <w:ind w:left="20"/>
              <w:spacing w:after="0"/>
              <w:rPr>
                <w:sz w:val="20"/>
                <w:szCs w:val="20"/>
                <w:color w:val="auto"/>
              </w:rPr>
            </w:pPr>
            <w:r>
              <w:rPr>
                <w:rFonts w:ascii="Arial" w:cs="Arial" w:eastAsia="Arial" w:hAnsi="Arial"/>
                <w:sz w:val="18"/>
                <w:szCs w:val="18"/>
                <w:color w:val="auto"/>
              </w:rPr>
              <w:t>/s/ Ajay Ayyappan</w:t>
            </w:r>
          </w:p>
        </w:tc>
      </w:tr>
      <w:tr>
        <w:trPr>
          <w:trHeight w:val="27"/>
        </w:trPr>
        <w:tc>
          <w:tcPr>
            <w:tcW w:w="30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236"/>
        </w:trPr>
        <w:tc>
          <w:tcPr>
            <w:tcW w:w="3020" w:type="dxa"/>
            <w:vAlign w:val="bottom"/>
          </w:tcPr>
          <w:p>
            <w:pPr>
              <w:spacing w:after="0"/>
              <w:rPr>
                <w:sz w:val="20"/>
                <w:szCs w:val="20"/>
                <w:color w:val="auto"/>
              </w:rPr>
            </w:pPr>
          </w:p>
        </w:tc>
        <w:tc>
          <w:tcPr>
            <w:tcW w:w="3240" w:type="dxa"/>
            <w:vAlign w:val="bottom"/>
          </w:tcPr>
          <w:p>
            <w:pPr>
              <w:ind w:left="1960"/>
              <w:spacing w:after="0"/>
              <w:rPr>
                <w:sz w:val="20"/>
                <w:szCs w:val="20"/>
                <w:color w:val="auto"/>
              </w:rPr>
            </w:pPr>
            <w:r>
              <w:rPr>
                <w:rFonts w:ascii="Arial" w:cs="Arial" w:eastAsia="Arial" w:hAnsi="Arial"/>
                <w:sz w:val="18"/>
                <w:szCs w:val="18"/>
                <w:color w:val="auto"/>
              </w:rPr>
              <w:t>Name:</w:t>
            </w:r>
          </w:p>
        </w:tc>
        <w:tc>
          <w:tcPr>
            <w:tcW w:w="4960" w:type="dxa"/>
            <w:vAlign w:val="bottom"/>
          </w:tcPr>
          <w:p>
            <w:pPr>
              <w:ind w:left="20"/>
              <w:spacing w:after="0"/>
              <w:rPr>
                <w:sz w:val="20"/>
                <w:szCs w:val="20"/>
                <w:color w:val="auto"/>
              </w:rPr>
            </w:pPr>
            <w:r>
              <w:rPr>
                <w:rFonts w:ascii="Arial" w:cs="Arial" w:eastAsia="Arial" w:hAnsi="Arial"/>
                <w:sz w:val="18"/>
                <w:szCs w:val="18"/>
                <w:color w:val="auto"/>
              </w:rPr>
              <w:t>Ajay Ayyappan</w:t>
            </w:r>
          </w:p>
        </w:tc>
      </w:tr>
      <w:tr>
        <w:trPr>
          <w:trHeight w:val="230"/>
        </w:trPr>
        <w:tc>
          <w:tcPr>
            <w:tcW w:w="3020" w:type="dxa"/>
            <w:vAlign w:val="bottom"/>
          </w:tcPr>
          <w:p>
            <w:pPr>
              <w:spacing w:after="0"/>
              <w:rPr>
                <w:sz w:val="20"/>
                <w:szCs w:val="20"/>
                <w:color w:val="auto"/>
              </w:rPr>
            </w:pPr>
          </w:p>
        </w:tc>
        <w:tc>
          <w:tcPr>
            <w:tcW w:w="3240" w:type="dxa"/>
            <w:vAlign w:val="bottom"/>
          </w:tcPr>
          <w:p>
            <w:pPr>
              <w:ind w:left="1960"/>
              <w:spacing w:after="0"/>
              <w:rPr>
                <w:sz w:val="20"/>
                <w:szCs w:val="20"/>
                <w:color w:val="auto"/>
              </w:rPr>
            </w:pPr>
            <w:r>
              <w:rPr>
                <w:rFonts w:ascii="Arial" w:cs="Arial" w:eastAsia="Arial" w:hAnsi="Arial"/>
                <w:sz w:val="18"/>
                <w:szCs w:val="18"/>
                <w:color w:val="auto"/>
              </w:rPr>
              <w:t>Title:</w:t>
            </w:r>
          </w:p>
        </w:tc>
        <w:tc>
          <w:tcPr>
            <w:tcW w:w="4960" w:type="dxa"/>
            <w:vAlign w:val="bottom"/>
          </w:tcPr>
          <w:p>
            <w:pPr>
              <w:ind w:left="20"/>
              <w:spacing w:after="0"/>
              <w:rPr>
                <w:sz w:val="20"/>
                <w:szCs w:val="20"/>
                <w:color w:val="auto"/>
              </w:rPr>
            </w:pPr>
            <w:r>
              <w:rPr>
                <w:rFonts w:ascii="Arial" w:cs="Arial" w:eastAsia="Arial" w:hAnsi="Arial"/>
                <w:sz w:val="18"/>
                <w:szCs w:val="18"/>
                <w:color w:val="auto"/>
              </w:rPr>
              <w:t>General Counsel and Corporate Secretary</w:t>
            </w:r>
          </w:p>
        </w:tc>
      </w:tr>
    </w:tbl>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EXL REPORTS 2022 FIRST QUARTER RESULTS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2022 First Quarter Revenues of $329.2 Million, up 25.9% year-over-year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Q1 Diluted Earnings Per Share (GAAP) of $1.07, up from $0.93 in Q1 of 2021</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 xml:space="preserve">Q1 Adjusted Diluted Earnings Per Share (Non-GAAP) </w:t>
      </w:r>
      <w:r>
        <w:rPr>
          <w:rFonts w:ascii="Arial" w:cs="Arial" w:eastAsia="Arial" w:hAnsi="Arial"/>
          <w:sz w:val="28"/>
          <w:szCs w:val="28"/>
          <w:b w:val="1"/>
          <w:bCs w:val="1"/>
          <w:i w:val="1"/>
          <w:iCs w:val="1"/>
          <w:color w:val="auto"/>
          <w:vertAlign w:val="superscript"/>
        </w:rPr>
        <w:t>(1)</w:t>
      </w:r>
      <w:r>
        <w:rPr>
          <w:rFonts w:ascii="Arial" w:cs="Arial" w:eastAsia="Arial" w:hAnsi="Arial"/>
          <w:sz w:val="22"/>
          <w:szCs w:val="22"/>
          <w:b w:val="1"/>
          <w:bCs w:val="1"/>
          <w:i w:val="1"/>
          <w:iCs w:val="1"/>
          <w:color w:val="auto"/>
        </w:rPr>
        <w:t xml:space="preserve"> of $1.42, up from $1.18 in Q1 of 2021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New York, NY - April 28, 2022 - ExlService Holdings, Inc. (NASDAQ: EXLS), a leading data analytics and digital operations and solutions company, today announced its financial results for the quarter ended March 31, 2022.</w:t>
      </w:r>
    </w:p>
    <w:p>
      <w:pPr>
        <w:spacing w:after="0" w:line="197" w:lineRule="exact"/>
        <w:rPr>
          <w:sz w:val="20"/>
          <w:szCs w:val="20"/>
          <w:color w:val="auto"/>
        </w:rPr>
      </w:pPr>
    </w:p>
    <w:p>
      <w:pPr>
        <w:jc w:val="both"/>
        <w:spacing w:after="0" w:line="302" w:lineRule="auto"/>
        <w:rPr>
          <w:sz w:val="20"/>
          <w:szCs w:val="20"/>
          <w:color w:val="auto"/>
        </w:rPr>
      </w:pPr>
      <w:r>
        <w:rPr>
          <w:rFonts w:ascii="Arial" w:cs="Arial" w:eastAsia="Arial" w:hAnsi="Arial"/>
          <w:sz w:val="18"/>
          <w:szCs w:val="18"/>
          <w:color w:val="auto"/>
        </w:rPr>
        <w:t>Rohit Kapoor, Vice Chairman and Chief Executive Officer, said, “EXL had a strong first quarter with revenue of $329.2 million, a 25.9% increase from the first quarter of 2021. Analytics continued to lead our growth with a 45.7% revenue increase from the first quarter of 2021. Adjusted diluted earnings per share for the quarter was $1.42, a 20.3% increase year-over-year. This strong performance affirms our strategy of focusing on high value data-led solutions, enabling our clients to improve business outcomes. Our acquisition of Clairvoyant, a global data, AI, ML and cloud services firm, enhances our expertise in data engineering and cloud enablement and is integrating well with our business. We have strong momentum as we head further into 2022, positioning us well for continued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Maurizio Nicolelli, Chief Financial Officer, said, “Based on our strong first quarter financial results, and the visibility we have for the remainder of the year, we are increasing our revenue guidance for 2022 to be in the range of $1.315 billion to $1.335 billion, from $1.28 billion to $1.31 billion. This represents a 17% to 19% increase year-over-year on a reported basis and 14% to 16% increase year-over-year on an organic constant currency basis. We are also increasing our adjusted diluted earnings per share guidance for 2022 to $5.40 to $5.65, from $5.35 to $5.60, representing a 12% to 17% increase over the prior year. Our balance sheet remains strong with cash and short-term investments of $269.2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w:t>
      </w:r>
    </w:p>
    <w:p>
      <w:pPr>
        <w:spacing w:after="0" w:line="332" w:lineRule="exact"/>
        <w:rPr>
          <w:sz w:val="20"/>
          <w:szCs w:val="20"/>
          <w:color w:val="auto"/>
        </w:rPr>
      </w:pPr>
    </w:p>
    <w:p>
      <w:pPr>
        <w:jc w:val="both"/>
        <w:ind w:left="660" w:hanging="328"/>
        <w:spacing w:after="0" w:line="249" w:lineRule="auto"/>
        <w:tabs>
          <w:tab w:leader="none" w:pos="658" w:val="left"/>
        </w:tabs>
        <w:numPr>
          <w:ilvl w:val="0"/>
          <w:numId w:val="3"/>
        </w:numPr>
        <w:rPr>
          <w:rFonts w:ascii="Arial" w:cs="Arial" w:eastAsia="Arial" w:hAnsi="Arial"/>
          <w:sz w:val="14"/>
          <w:szCs w:val="14"/>
          <w:color w:val="auto"/>
        </w:rPr>
      </w:pPr>
      <w:r>
        <w:rPr>
          <w:rFonts w:ascii="Arial" w:cs="Arial" w:eastAsia="Arial" w:hAnsi="Arial"/>
          <w:sz w:val="14"/>
          <w:szCs w:val="14"/>
          <w:color w:val="auto"/>
        </w:rPr>
        <w:t>Reconciliations of adjusted (non-GAAP) financial measures to the most directly comparable GAAP measures, where applicable, are included at the end of this release under “Reconciliation of Adjusted Financial Measures to GAAP Measures”. These non-GAAP measures, including adjusted diluted EPS and constant currency measures, are not measures of financial performance prepared in accordance with GAAP.</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Highlights: First Quarter 2022</w:t>
      </w:r>
    </w:p>
    <w:p>
      <w:pPr>
        <w:spacing w:after="0" w:line="200" w:lineRule="exact"/>
        <w:rPr>
          <w:sz w:val="20"/>
          <w:szCs w:val="20"/>
          <w:color w:val="auto"/>
        </w:rPr>
      </w:pPr>
    </w:p>
    <w:p>
      <w:pPr>
        <w:spacing w:after="0" w:line="205" w:lineRule="exact"/>
        <w:rPr>
          <w:sz w:val="20"/>
          <w:szCs w:val="20"/>
          <w:color w:val="auto"/>
        </w:rPr>
      </w:pPr>
    </w:p>
    <w:p>
      <w:pPr>
        <w:jc w:val="both"/>
        <w:ind w:left="660" w:hanging="328"/>
        <w:spacing w:after="0" w:line="31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for the quarter ended March 31, 2022 increased to $329.2 million compared to $261.4 million for the first quarter of 2021, an increase of 25.9% on a reported basis and 26.5% on a constant currency basis from the first quarter of 2021. Revenues increased by 11.4% sequentially on a reported basis and 11.5% on a constant currency basis from the fourth quarter of 2021.</w:t>
      </w:r>
    </w:p>
    <w:p>
      <w:pPr>
        <w:spacing w:after="0" w:line="62"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7"/>
              </w:rPr>
              <w:t>Revenues</w:t>
            </w:r>
          </w:p>
        </w:tc>
        <w:tc>
          <w:tcPr>
            <w:tcW w:w="3100" w:type="dxa"/>
            <w:vAlign w:val="bottom"/>
            <w:gridSpan w:val="4"/>
          </w:tcPr>
          <w:p>
            <w:pPr>
              <w:jc w:val="right"/>
              <w:ind w:right="872"/>
              <w:spacing w:after="0"/>
              <w:rPr>
                <w:sz w:val="20"/>
                <w:szCs w:val="20"/>
                <w:color w:val="auto"/>
              </w:rPr>
            </w:pPr>
            <w:r>
              <w:rPr>
                <w:rFonts w:ascii="Arial" w:cs="Arial" w:eastAsia="Arial" w:hAnsi="Arial"/>
                <w:sz w:val="16"/>
                <w:szCs w:val="16"/>
                <w:b w:val="1"/>
                <w:bCs w:val="1"/>
                <w:color w:val="auto"/>
              </w:rPr>
              <w:t>Gross Margin</w:t>
            </w:r>
          </w:p>
        </w:tc>
        <w:tc>
          <w:tcPr>
            <w:tcW w:w="220" w:type="dxa"/>
            <w:vAlign w:val="bottom"/>
          </w:tcPr>
          <w:p>
            <w:pPr>
              <w:spacing w:after="0"/>
              <w:rPr>
                <w:sz w:val="18"/>
                <w:szCs w:val="18"/>
                <w:color w:val="auto"/>
              </w:rPr>
            </w:pPr>
          </w:p>
        </w:tc>
      </w:tr>
      <w:tr>
        <w:trPr>
          <w:trHeight w:val="207"/>
        </w:trPr>
        <w:tc>
          <w:tcPr>
            <w:tcW w:w="2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2920" w:type="dxa"/>
            <w:vAlign w:val="bottom"/>
            <w:tcBorders>
              <w:top w:val="single" w:sz="8" w:color="auto"/>
              <w:bottom w:val="single" w:sz="8" w:color="auto"/>
            </w:tcBorders>
            <w:gridSpan w:val="4"/>
          </w:tcPr>
          <w:p>
            <w:pPr>
              <w:jc w:val="center"/>
              <w:ind w:right="92"/>
              <w:spacing w:after="0"/>
              <w:rPr>
                <w:sz w:val="20"/>
                <w:szCs w:val="20"/>
                <w:color w:val="auto"/>
              </w:rPr>
            </w:pPr>
            <w:r>
              <w:rPr>
                <w:rFonts w:ascii="Arial" w:cs="Arial" w:eastAsia="Arial" w:hAnsi="Arial"/>
                <w:sz w:val="16"/>
                <w:szCs w:val="16"/>
                <w:b w:val="1"/>
                <w:bCs w:val="1"/>
                <w:color w:val="auto"/>
                <w:w w:val="90"/>
              </w:rPr>
              <w:t>Three months ended</w:t>
            </w:r>
          </w:p>
        </w:tc>
        <w:tc>
          <w:tcPr>
            <w:tcW w:w="100" w:type="dxa"/>
            <w:vAlign w:val="bottom"/>
          </w:tcPr>
          <w:p>
            <w:pPr>
              <w:spacing w:after="0"/>
              <w:rPr>
                <w:sz w:val="17"/>
                <w:szCs w:val="17"/>
                <w:color w:val="auto"/>
              </w:rPr>
            </w:pPr>
          </w:p>
        </w:tc>
        <w:tc>
          <w:tcPr>
            <w:tcW w:w="3100" w:type="dxa"/>
            <w:vAlign w:val="bottom"/>
            <w:tcBorders>
              <w:top w:val="single" w:sz="8" w:color="auto"/>
              <w:bottom w:val="single" w:sz="8" w:color="auto"/>
            </w:tcBorders>
            <w:gridSpan w:val="4"/>
          </w:tcPr>
          <w:p>
            <w:pPr>
              <w:jc w:val="right"/>
              <w:ind w:right="632"/>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top w:val="single" w:sz="8" w:color="auto"/>
              <w:bottom w:val="single" w:sz="8" w:color="auto"/>
            </w:tcBorders>
          </w:tcPr>
          <w:p>
            <w:pPr>
              <w:spacing w:after="0"/>
              <w:rPr>
                <w:sz w:val="17"/>
                <w:szCs w:val="17"/>
                <w:color w:val="auto"/>
              </w:rPr>
            </w:pPr>
          </w:p>
        </w:tc>
      </w:tr>
      <w:tr>
        <w:trPr>
          <w:trHeight w:val="212"/>
        </w:trPr>
        <w:tc>
          <w:tcPr>
            <w:tcW w:w="2580" w:type="dxa"/>
            <w:vAlign w:val="bottom"/>
            <w:gridSpan w:val="2"/>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8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2022</w:t>
            </w:r>
          </w:p>
        </w:tc>
        <w:tc>
          <w:tcPr>
            <w:tcW w:w="160" w:type="dxa"/>
            <w:vAlign w:val="bottom"/>
          </w:tcPr>
          <w:p>
            <w:pPr>
              <w:spacing w:after="0"/>
              <w:rPr>
                <w:sz w:val="18"/>
                <w:szCs w:val="18"/>
                <w:color w:val="auto"/>
              </w:rPr>
            </w:pPr>
          </w:p>
        </w:tc>
        <w:tc>
          <w:tcPr>
            <w:tcW w:w="1320" w:type="dxa"/>
            <w:vAlign w:val="bottom"/>
          </w:tcPr>
          <w:p>
            <w:pPr>
              <w:jc w:val="right"/>
              <w:ind w:right="112"/>
              <w:spacing w:after="0"/>
              <w:rPr>
                <w:sz w:val="20"/>
                <w:szCs w:val="20"/>
                <w:color w:val="auto"/>
              </w:rPr>
            </w:pPr>
            <w:r>
              <w:rPr>
                <w:rFonts w:ascii="Arial" w:cs="Arial" w:eastAsia="Arial" w:hAnsi="Arial"/>
                <w:sz w:val="16"/>
                <w:szCs w:val="16"/>
                <w:b w:val="1"/>
                <w:bCs w:val="1"/>
                <w:color w:val="auto"/>
                <w:w w:val="96"/>
              </w:rPr>
              <w:t>March 31, 2021</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March 31, 2022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b w:val="1"/>
                <w:bCs w:val="1"/>
                <w:color w:val="auto"/>
              </w:rPr>
              <w:t>March 31, 2021</w:t>
            </w:r>
          </w:p>
        </w:tc>
        <w:tc>
          <w:tcPr>
            <w:tcW w:w="220" w:type="dxa"/>
            <w:vAlign w:val="bottom"/>
          </w:tcPr>
          <w:p>
            <w:pPr>
              <w:spacing w:after="0"/>
              <w:rPr>
                <w:sz w:val="18"/>
                <w:szCs w:val="18"/>
                <w:color w:val="auto"/>
              </w:rPr>
            </w:pPr>
          </w:p>
        </w:tc>
      </w:tr>
      <w:tr>
        <w:trPr>
          <w:trHeight w:val="209"/>
        </w:trPr>
        <w:tc>
          <w:tcPr>
            <w:tcW w:w="24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920" w:type="dxa"/>
            <w:vAlign w:val="bottom"/>
            <w:tcBorders>
              <w:top w:val="single" w:sz="8" w:color="auto"/>
              <w:bottom w:val="single" w:sz="8" w:color="auto"/>
            </w:tcBorders>
            <w:gridSpan w:val="4"/>
          </w:tcPr>
          <w:p>
            <w:pPr>
              <w:jc w:val="center"/>
              <w:ind w:right="92"/>
              <w:spacing w:after="0"/>
              <w:rPr>
                <w:sz w:val="20"/>
                <w:szCs w:val="20"/>
                <w:color w:val="auto"/>
              </w:rPr>
            </w:pPr>
            <w:r>
              <w:rPr>
                <w:rFonts w:ascii="Arial" w:cs="Arial" w:eastAsia="Arial" w:hAnsi="Arial"/>
                <w:sz w:val="16"/>
                <w:szCs w:val="16"/>
                <w:b w:val="1"/>
                <w:bCs w:val="1"/>
                <w:color w:val="auto"/>
                <w:w w:val="91"/>
              </w:rPr>
              <w:t>(dollars in millions)</w:t>
            </w:r>
          </w:p>
        </w:tc>
        <w:tc>
          <w:tcPr>
            <w:tcW w:w="10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4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r>
      <w:tr>
        <w:trPr>
          <w:trHeight w:val="226"/>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580" w:type="dxa"/>
            <w:vAlign w:val="bottom"/>
            <w:gridSpan w:val="2"/>
          </w:tcPr>
          <w:p>
            <w:pPr>
              <w:ind w:left="20"/>
              <w:spacing w:after="0"/>
              <w:rPr>
                <w:sz w:val="20"/>
                <w:szCs w:val="20"/>
                <w:color w:val="auto"/>
              </w:rPr>
            </w:pPr>
            <w:r>
              <w:rPr>
                <w:rFonts w:ascii="Arial" w:cs="Arial" w:eastAsia="Arial" w:hAnsi="Arial"/>
                <w:sz w:val="16"/>
                <w:szCs w:val="16"/>
                <w:color w:val="auto"/>
              </w:rPr>
              <w:t>Healthcare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Emerging Business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5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Analytics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37.0 %</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39.2 %</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660" w:hanging="328"/>
        <w:spacing w:after="0" w:line="31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margin for the quarter ended March 31, 2022 was 13.4%, compared to 15.9% for the first quarter of 2021 and 12.2% for the fourth quarter of 2021. Adjusted operating income margin for the quarter ended March 31, 2022 was 18.2% compared to 20.2% for the first quarter of 2021 and 17.0% for the fourth quarter of 2021.</w:t>
      </w:r>
    </w:p>
    <w:p>
      <w:pPr>
        <w:spacing w:after="0" w:line="210" w:lineRule="exact"/>
        <w:rPr>
          <w:rFonts w:ascii="Arial" w:cs="Arial" w:eastAsia="Arial" w:hAnsi="Arial"/>
          <w:sz w:val="18"/>
          <w:szCs w:val="18"/>
          <w:color w:val="auto"/>
        </w:rPr>
      </w:pPr>
    </w:p>
    <w:p>
      <w:pPr>
        <w:jc w:val="both"/>
        <w:ind w:left="660" w:hanging="328"/>
        <w:spacing w:after="0" w:line="31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for the quarter ended March 31, 2022 was $1.07 compared to $0.93 for the first quarter of 2021 and $0.83 for the fourth quarter of 2021. Adjusted diluted earnings per share for the quarter ended March 31, 2022 was $1.42 compared to $1.18 for the first quarter of 2021 and $1.21 for the fourth quarter of 2021.</w:t>
      </w:r>
    </w:p>
    <w:p>
      <w:pPr>
        <w:sectPr>
          <w:pgSz w:w="11900" w:h="16838" w:orient="portrait"/>
          <w:cols w:equalWidth="0" w:num="1">
            <w:col w:w="11240"/>
          </w:cols>
          <w:pgMar w:left="320" w:top="10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Business Highlights: First Quarter 2022</w:t>
      </w:r>
    </w:p>
    <w:p>
      <w:pPr>
        <w:spacing w:after="0" w:line="200" w:lineRule="exact"/>
        <w:rPr>
          <w:sz w:val="20"/>
          <w:szCs w:val="20"/>
          <w:color w:val="auto"/>
        </w:rPr>
      </w:pPr>
    </w:p>
    <w:p>
      <w:pPr>
        <w:spacing w:after="0" w:line="286" w:lineRule="exact"/>
        <w:rPr>
          <w:sz w:val="20"/>
          <w:szCs w:val="20"/>
          <w:color w:val="auto"/>
        </w:rPr>
      </w:pPr>
    </w:p>
    <w:p>
      <w:pPr>
        <w:ind w:left="240" w:hanging="19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Won 19 new clients in the first quarter of 2022, with 10 in our digital operations and solutions business and nine in analytics.</w:t>
      </w:r>
    </w:p>
    <w:p>
      <w:pPr>
        <w:spacing w:after="0" w:line="292" w:lineRule="exact"/>
        <w:rPr>
          <w:rFonts w:ascii="Arial" w:cs="Arial" w:eastAsia="Arial" w:hAnsi="Arial"/>
          <w:sz w:val="18"/>
          <w:szCs w:val="18"/>
          <w:color w:val="auto"/>
        </w:rPr>
      </w:pPr>
    </w:p>
    <w:p>
      <w:pPr>
        <w:ind w:left="240" w:hanging="19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Recognized as a Leader in Everest Group’s 2022 Advanced Analytics and Insights Services PEAK Matrix® Assessment.</w:t>
      </w:r>
    </w:p>
    <w:p>
      <w:pPr>
        <w:spacing w:after="0" w:line="292" w:lineRule="exact"/>
        <w:rPr>
          <w:rFonts w:ascii="Arial" w:cs="Arial" w:eastAsia="Arial" w:hAnsi="Arial"/>
          <w:sz w:val="18"/>
          <w:szCs w:val="18"/>
          <w:color w:val="auto"/>
        </w:rPr>
      </w:pPr>
    </w:p>
    <w:p>
      <w:pPr>
        <w:ind w:left="240" w:hanging="19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Named a Leader and Star Performer in Everest Group’s Healthcare Payer Operations PEAK Matrix® Assessment 2022.</w:t>
      </w:r>
    </w:p>
    <w:p>
      <w:pPr>
        <w:spacing w:after="0" w:line="279" w:lineRule="exact"/>
        <w:rPr>
          <w:rFonts w:ascii="Arial" w:cs="Arial" w:eastAsia="Arial" w:hAnsi="Arial"/>
          <w:sz w:val="18"/>
          <w:szCs w:val="18"/>
          <w:color w:val="auto"/>
        </w:rPr>
      </w:pPr>
    </w:p>
    <w:p>
      <w:pPr>
        <w:ind w:left="240" w:hanging="19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EXLClarity™ won Best in KLAS® 2022 award for Risk Adjustment and Analytics.</w:t>
      </w:r>
    </w:p>
    <w:p>
      <w:pPr>
        <w:spacing w:after="0" w:line="292" w:lineRule="exact"/>
        <w:rPr>
          <w:rFonts w:ascii="Arial" w:cs="Arial" w:eastAsia="Arial" w:hAnsi="Arial"/>
          <w:sz w:val="18"/>
          <w:szCs w:val="18"/>
          <w:color w:val="auto"/>
        </w:rPr>
      </w:pPr>
    </w:p>
    <w:p>
      <w:pPr>
        <w:ind w:left="240" w:hanging="19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Positioned in the Winners Circle in the HFS Top 10 for Insurance Services.</w:t>
      </w:r>
    </w:p>
    <w:p>
      <w:pPr>
        <w:spacing w:after="0" w:line="306" w:lineRule="exact"/>
        <w:rPr>
          <w:rFonts w:ascii="Arial" w:cs="Arial" w:eastAsia="Arial" w:hAnsi="Arial"/>
          <w:sz w:val="18"/>
          <w:szCs w:val="18"/>
          <w:color w:val="auto"/>
        </w:rPr>
      </w:pPr>
    </w:p>
    <w:p>
      <w:pPr>
        <w:ind w:left="240" w:hanging="192"/>
        <w:spacing w:after="0"/>
        <w:tabs>
          <w:tab w:leader="none" w:pos="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Recognized as a Leader in all categories in the 2021 ISG Provider Lens™ Insurance BPO Services report for the U.S. and Australia.</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ind w:left="260" w:hanging="252"/>
        <w:spacing w:after="0" w:line="293"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Entered into an Amended and Restated Credit Agreement on April 18, 2022, increasing the aggregate amount of revolving credit commitment available to the Company to $400 million, with a new maturity date of April 18, 2027.</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Guidance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Based on current visibility, and a U.S. Dollar to Indian Rupee exchange rate of 76.5, British Pound to U.S. Dollar exchange rate of 1.33, U.S. Dollar to the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Philippine Peso exchange rate of 52.0 and all other currencies at current exchange rates, we are providing the following guidance for the full year 2022:</w:t>
      </w:r>
    </w:p>
    <w:p>
      <w:pPr>
        <w:spacing w:after="0" w:line="329" w:lineRule="exact"/>
        <w:rPr>
          <w:sz w:val="20"/>
          <w:szCs w:val="20"/>
          <w:color w:val="auto"/>
        </w:rPr>
      </w:pPr>
    </w:p>
    <w:p>
      <w:pPr>
        <w:ind w:left="660" w:hanging="328"/>
        <w:spacing w:after="0" w:line="324"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Revenue of $1.315 billion to $1.335 billion, representing an increase of 17% to 19% on a reported basis, and 14% to 16% on an organic constant currency basis from 2021.</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diluted earnings per share of $5.40 to $5.65, representing an increase of 12% to 17% from 2021.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185" w:lineRule="exact"/>
        <w:rPr>
          <w:sz w:val="20"/>
          <w:szCs w:val="20"/>
          <w:color w:val="auto"/>
        </w:rPr>
      </w:pPr>
    </w:p>
    <w:p>
      <w:pPr>
        <w:jc w:val="both"/>
        <w:spacing w:after="0" w:line="369" w:lineRule="auto"/>
        <w:rPr>
          <w:sz w:val="20"/>
          <w:szCs w:val="20"/>
          <w:color w:val="auto"/>
        </w:rPr>
      </w:pPr>
      <w:r>
        <w:rPr>
          <w:rFonts w:ascii="Arial" w:cs="Arial" w:eastAsia="Arial" w:hAnsi="Arial"/>
          <w:sz w:val="18"/>
          <w:szCs w:val="18"/>
          <w:color w:val="auto"/>
        </w:rPr>
        <w:t xml:space="preserve">ExlService Holdings, Inc. will host a conference call on Thursday, April 28, 2022 at 10:00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50" w:lineRule="exact"/>
        <w:rPr>
          <w:sz w:val="20"/>
          <w:szCs w:val="20"/>
          <w:color w:val="auto"/>
        </w:rPr>
      </w:pPr>
    </w:p>
    <w:p>
      <w:pPr>
        <w:jc w:val="both"/>
        <w:spacing w:after="0" w:line="357" w:lineRule="auto"/>
        <w:rPr>
          <w:sz w:val="20"/>
          <w:szCs w:val="20"/>
          <w:color w:val="auto"/>
        </w:rPr>
      </w:pPr>
      <w:r>
        <w:rPr>
          <w:rFonts w:ascii="Arial" w:cs="Arial" w:eastAsia="Arial" w:hAnsi="Arial"/>
          <w:sz w:val="17"/>
          <w:szCs w:val="17"/>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Arial" w:cs="Arial" w:eastAsia="Arial" w:hAnsi="Arial"/>
          <w:sz w:val="17"/>
          <w:szCs w:val="17"/>
          <w:u w:val="single" w:color="auto"/>
          <w:color w:val="0000FF"/>
        </w:rPr>
        <w:t>ir.exlservice.com</w:t>
      </w:r>
      <w:r>
        <w:rPr>
          <w:rFonts w:ascii="Arial" w:cs="Arial" w:eastAsia="Arial" w:hAnsi="Arial"/>
          <w:sz w:val="17"/>
          <w:szCs w:val="17"/>
          <w:color w:val="auto"/>
        </w:rPr>
        <w:t xml:space="preserve"> for a period of twelve months.</w:t>
      </w:r>
    </w:p>
    <w:p>
      <w:pPr>
        <w:sectPr>
          <w:pgSz w:w="11900" w:h="16838" w:orient="portrait"/>
          <w:cols w:equalWidth="0" w:num="1">
            <w:col w:w="11240"/>
          </w:cols>
          <w:pgMar w:left="320" w:top="110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81" w:lineRule="exact"/>
        <w:rPr>
          <w:sz w:val="20"/>
          <w:szCs w:val="20"/>
          <w:color w:val="auto"/>
        </w:rPr>
      </w:pPr>
    </w:p>
    <w:p>
      <w:pPr>
        <w:jc w:val="both"/>
        <w:spacing w:after="0" w:line="389" w:lineRule="auto"/>
        <w:rPr>
          <w:sz w:val="20"/>
          <w:szCs w:val="20"/>
          <w:color w:val="auto"/>
        </w:rPr>
      </w:pPr>
      <w:r>
        <w:rPr>
          <w:rFonts w:ascii="Arial" w:cs="Arial" w:eastAsia="Arial" w:hAnsi="Arial"/>
          <w:sz w:val="17"/>
          <w:szCs w:val="17"/>
          <w:color w:val="auto"/>
        </w:rPr>
        <w:t xml:space="preserve">EXL (NASDAQ: EXLS) is a leading data analytics and digital operations and solutions company that partners with clients to improve business outcomes and unlock growth. By bringing together deep domain expertise with robust data, powerful analytics, cloud, artificial intelligence (“AI”) and machine learning (“ML”), we create agile, scalable solutions and execute complex operations for the world’s leading corporations in industries including insurance, healthcare, banking and financial services, media, and retail, among others. Focused on driving faster decision-making and transforming operating models, EXL was founded on the core values of innovation, collaboration, excellence, integrity and respect. Headquartered in New York, our team is over 39,000 strong, with more than 50 offices spanning six continents. For more information, visit </w:t>
      </w:r>
      <w:r>
        <w:rPr>
          <w:rFonts w:ascii="Arial" w:cs="Arial" w:eastAsia="Arial" w:hAnsi="Arial"/>
          <w:sz w:val="17"/>
          <w:szCs w:val="17"/>
          <w:u w:val="single" w:color="auto"/>
          <w:color w:val="0000FF"/>
        </w:rPr>
        <w:t>www.exlservice.com.</w:t>
      </w:r>
    </w:p>
    <w:p>
      <w:pPr>
        <w:spacing w:after="0" w:line="282" w:lineRule="exact"/>
        <w:rPr>
          <w:sz w:val="20"/>
          <w:szCs w:val="20"/>
          <w:color w:val="auto"/>
        </w:rPr>
      </w:pPr>
    </w:p>
    <w:p>
      <w:pPr>
        <w:jc w:val="both"/>
        <w:spacing w:after="0" w:line="338" w:lineRule="auto"/>
        <w:rPr>
          <w:sz w:val="20"/>
          <w:szCs w:val="20"/>
          <w:color w:val="auto"/>
        </w:rPr>
      </w:pPr>
      <w:r>
        <w:rPr>
          <w:rFonts w:ascii="Arial" w:cs="Arial" w:eastAsia="Arial" w:hAnsi="Arial"/>
          <w:sz w:val="16"/>
          <w:szCs w:val="16"/>
          <w:b w:val="1"/>
          <w:bCs w:val="1"/>
          <w:color w:val="auto"/>
        </w:rPr>
        <w:t xml:space="preserve">Cautionary Statement Regarding Forward-Looking Statements </w:t>
      </w:r>
      <w:r>
        <w:rPr>
          <w:rFonts w:ascii="Arial" w:cs="Arial" w:eastAsia="Arial" w:hAnsi="Arial"/>
          <w:sz w:val="16"/>
          <w:szCs w:val="16"/>
          <w:i w:val="1"/>
          <w:iCs w:val="1"/>
          <w:color w:val="auto"/>
        </w:rPr>
        <w:t>This press release contains forward-looking statements. You should not place undue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close and integrate strategic acquisitions, our ability to respond to and manage public health crises, including the outbreak and continued effects of COVID-19 pandemic, are discussed in more detail in EXL’s filings with the Securities and Exchange Commission, including EXL’s Quarterly Report on Form 10-Q and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240"/>
          </w:cols>
          <w:pgMar w:left="320" w:top="918" w:right="339" w:bottom="1440" w:gutter="0" w:footer="0" w:header="0"/>
        </w:sectPr>
      </w:pPr>
    </w:p>
    <w:bookmarkStart w:id="7" w:name="page8"/>
    <w:bookmarkEnd w:id="7"/>
    <w:p>
      <w:pPr>
        <w:ind w:left="4292"/>
        <w:spacing w:after="0"/>
        <w:rPr>
          <w:sz w:val="20"/>
          <w:szCs w:val="20"/>
          <w:color w:val="auto"/>
        </w:rPr>
      </w:pPr>
      <w:r>
        <w:rPr>
          <w:rFonts w:ascii="Arial" w:cs="Arial" w:eastAsia="Arial" w:hAnsi="Arial"/>
          <w:sz w:val="18"/>
          <w:szCs w:val="18"/>
          <w:b w:val="1"/>
          <w:bCs w:val="1"/>
          <w:color w:val="auto"/>
        </w:rPr>
        <w:t>EXLSERVICE HOLDINGS, INC.</w:t>
      </w:r>
    </w:p>
    <w:p>
      <w:pPr>
        <w:spacing w:after="0" w:line="104" w:lineRule="exact"/>
        <w:rPr>
          <w:sz w:val="20"/>
          <w:szCs w:val="20"/>
          <w:color w:val="auto"/>
        </w:rPr>
      </w:pPr>
    </w:p>
    <w:p>
      <w:pPr>
        <w:ind w:left="3092"/>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(In thousands, except per share amount and share count)</w:t>
      </w:r>
    </w:p>
    <w:p>
      <w:pPr>
        <w:spacing w:after="0" w:line="27" w:lineRule="exact"/>
        <w:rPr>
          <w:sz w:val="20"/>
          <w:szCs w:val="20"/>
          <w:color w:val="auto"/>
        </w:rPr>
      </w:pPr>
    </w:p>
    <w:tbl>
      <w:tblPr>
        <w:tblLayout w:type="fixed"/>
        <w:tblInd w:w="32"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83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329,208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261,415</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207,516</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158,821</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3"/>
                <w:szCs w:val="23"/>
                <w:b w:val="1"/>
                <w:bCs w:val="1"/>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121,692</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102,594</w:t>
            </w:r>
          </w:p>
        </w:tc>
        <w:tc>
          <w:tcPr>
            <w:tcW w:w="0" w:type="dxa"/>
            <w:vAlign w:val="bottom"/>
          </w:tcPr>
          <w:p>
            <w:pPr>
              <w:spacing w:after="0"/>
              <w:rPr>
                <w:sz w:val="1"/>
                <w:szCs w:val="1"/>
                <w:color w:val="auto"/>
              </w:rPr>
            </w:pPr>
          </w:p>
        </w:tc>
      </w:tr>
      <w:tr>
        <w:trPr>
          <w:trHeight w:val="209"/>
        </w:trPr>
        <w:tc>
          <w:tcPr>
            <w:tcW w:w="8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30,703</w:t>
            </w:r>
          </w:p>
        </w:tc>
        <w:tc>
          <w:tcPr>
            <w:tcW w:w="0" w:type="dxa"/>
            <w:vAlign w:val="bottom"/>
          </w:tcPr>
          <w:p>
            <w:pPr>
              <w:spacing w:after="0"/>
              <w:rPr>
                <w:sz w:val="1"/>
                <w:szCs w:val="1"/>
                <w:color w:val="auto"/>
              </w:rPr>
            </w:pPr>
          </w:p>
        </w:tc>
      </w:tr>
      <w:tr>
        <w:trPr>
          <w:trHeight w:val="230"/>
        </w:trPr>
        <w:tc>
          <w:tcPr>
            <w:tcW w:w="8320" w:type="dxa"/>
            <w:vAlign w:val="bottom"/>
          </w:tcPr>
          <w:p>
            <w:pPr>
              <w:ind w:left="480"/>
              <w:spacing w:after="0"/>
              <w:rPr>
                <w:sz w:val="20"/>
                <w:szCs w:val="20"/>
                <w:color w:val="auto"/>
              </w:rPr>
            </w:pPr>
            <w:r>
              <w:rPr>
                <w:rFonts w:ascii="Arial" w:cs="Arial" w:eastAsia="Arial" w:hAnsi="Arial"/>
                <w:sz w:val="18"/>
                <w:szCs w:val="18"/>
                <w:color w:val="auto"/>
              </w:rPr>
              <w:t>Selling and marketing expenses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24,170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18,235</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13,602</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12,101</w:t>
            </w:r>
          </w:p>
        </w:tc>
        <w:tc>
          <w:tcPr>
            <w:tcW w:w="0" w:type="dxa"/>
            <w:vAlign w:val="bottom"/>
          </w:tcPr>
          <w:p>
            <w:pPr>
              <w:spacing w:after="0"/>
              <w:rPr>
                <w:sz w:val="1"/>
                <w:szCs w:val="1"/>
                <w:color w:val="auto"/>
              </w:rPr>
            </w:pPr>
          </w:p>
        </w:tc>
      </w:tr>
      <w:tr>
        <w:trPr>
          <w:trHeight w:val="22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77,717</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61,039</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43,975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41,555</w:t>
            </w:r>
          </w:p>
        </w:tc>
        <w:tc>
          <w:tcPr>
            <w:tcW w:w="0" w:type="dxa"/>
            <w:vAlign w:val="bottom"/>
          </w:tcPr>
          <w:p>
            <w:pPr>
              <w:spacing w:after="0"/>
              <w:rPr>
                <w:sz w:val="1"/>
                <w:szCs w:val="1"/>
                <w:color w:val="auto"/>
              </w:rPr>
            </w:pPr>
          </w:p>
        </w:tc>
      </w:tr>
      <w:tr>
        <w:trPr>
          <w:trHeight w:val="230"/>
        </w:trPr>
        <w:tc>
          <w:tcPr>
            <w:tcW w:w="832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 expense and earnings from equity affiliates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47,266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40,925</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11,202</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8,958</w:t>
            </w:r>
          </w:p>
        </w:tc>
        <w:tc>
          <w:tcPr>
            <w:tcW w:w="0" w:type="dxa"/>
            <w:vAlign w:val="bottom"/>
          </w:tcPr>
          <w:p>
            <w:pPr>
              <w:spacing w:after="0"/>
              <w:rPr>
                <w:sz w:val="1"/>
                <w:szCs w:val="1"/>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earnings from equity affiliates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36,064</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31,967</w:t>
            </w:r>
          </w:p>
        </w:tc>
        <w:tc>
          <w:tcPr>
            <w:tcW w:w="0" w:type="dxa"/>
            <w:vAlign w:val="bottom"/>
          </w:tcPr>
          <w:p>
            <w:pPr>
              <w:spacing w:after="0"/>
              <w:rPr>
                <w:sz w:val="1"/>
                <w:szCs w:val="1"/>
                <w:color w:val="auto"/>
              </w:rPr>
            </w:pPr>
          </w:p>
        </w:tc>
      </w:tr>
      <w:tr>
        <w:trPr>
          <w:trHeight w:val="229"/>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Gain/(loss) from equity-method investment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ExlService Holdings, Inc. stockholders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36,178</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31,931</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 attributable to ExlService Holdings, Inc. stockholders: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175"/>
        </w:trPr>
        <w:tc>
          <w:tcPr>
            <w:tcW w:w="8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Weighted-average number of shares used in computing earnings per share attributable to ExlService Holdings Inc.</w:t>
            </w: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3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33,442,038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33,734,118</w:t>
            </w:r>
          </w:p>
        </w:tc>
        <w:tc>
          <w:tcPr>
            <w:tcW w:w="0" w:type="dxa"/>
            <w:vAlign w:val="bottom"/>
          </w:tcPr>
          <w:p>
            <w:pPr>
              <w:spacing w:after="0"/>
              <w:rPr>
                <w:sz w:val="1"/>
                <w:szCs w:val="1"/>
                <w:color w:val="auto"/>
              </w:rPr>
            </w:pPr>
          </w:p>
        </w:tc>
      </w:tr>
      <w:tr>
        <w:trPr>
          <w:trHeight w:val="229"/>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33,894,868</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34,318,318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52" w:hanging="152"/>
        <w:spacing w:after="0"/>
        <w:tabs>
          <w:tab w:leader="none" w:pos="152"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Exclusive of depreciation and amortization expense.</w:t>
      </w:r>
    </w:p>
    <w:p>
      <w:pPr>
        <w:sectPr>
          <w:pgSz w:w="11900" w:h="16838" w:orient="portrait"/>
          <w:cols w:equalWidth="0" w:num="1">
            <w:col w:w="11192"/>
          </w:cols>
          <w:pgMar w:left="328" w:top="1107"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(In thousands, except per share amount and share count)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ind w:left="120"/>
              <w:spacing w:after="0"/>
              <w:rPr>
                <w:sz w:val="20"/>
                <w:szCs w:val="20"/>
                <w:color w:val="auto"/>
              </w:rPr>
            </w:pPr>
            <w:r>
              <w:rPr>
                <w:rFonts w:ascii="Arial" w:cs="Arial" w:eastAsia="Arial" w:hAnsi="Arial"/>
                <w:sz w:val="15"/>
                <w:szCs w:val="15"/>
                <w:b w:val="1"/>
                <w:bCs w:val="1"/>
                <w:color w:val="auto"/>
              </w:rPr>
              <w:t>March 31, 2022</w:t>
            </w:r>
          </w:p>
        </w:tc>
        <w:tc>
          <w:tcPr>
            <w:tcW w:w="140" w:type="dxa"/>
            <w:vAlign w:val="bottom"/>
          </w:tcPr>
          <w:p>
            <w:pPr>
              <w:spacing w:after="0"/>
              <w:rPr>
                <w:sz w:val="15"/>
                <w:szCs w:val="15"/>
                <w:color w:val="auto"/>
              </w:rPr>
            </w:pPr>
          </w:p>
        </w:tc>
        <w:tc>
          <w:tcPr>
            <w:tcW w:w="1440" w:type="dxa"/>
            <w:vAlign w:val="bottom"/>
          </w:tcPr>
          <w:p>
            <w:pPr>
              <w:jc w:val="right"/>
              <w:ind w:right="110"/>
              <w:spacing w:after="0"/>
              <w:rPr>
                <w:sz w:val="20"/>
                <w:szCs w:val="20"/>
                <w:color w:val="auto"/>
              </w:rPr>
            </w:pPr>
            <w:r>
              <w:rPr>
                <w:rFonts w:ascii="Arial" w:cs="Arial" w:eastAsia="Arial" w:hAnsi="Arial"/>
                <w:sz w:val="15"/>
                <w:szCs w:val="15"/>
                <w:b w:val="1"/>
                <w:bCs w:val="1"/>
                <w:color w:val="auto"/>
                <w:w w:val="90"/>
              </w:rPr>
              <w:t>December 31, 2021</w:t>
            </w:r>
          </w:p>
        </w:tc>
        <w:tc>
          <w:tcPr>
            <w:tcW w:w="0" w:type="dxa"/>
            <w:vAlign w:val="bottom"/>
          </w:tcPr>
          <w:p>
            <w:pPr>
              <w:spacing w:after="0"/>
              <w:rPr>
                <w:sz w:val="1"/>
                <w:szCs w:val="1"/>
                <w:color w:val="auto"/>
              </w:rPr>
            </w:pPr>
          </w:p>
        </w:tc>
      </w:tr>
      <w:tr>
        <w:trPr>
          <w:trHeight w:val="196"/>
        </w:trPr>
        <w:tc>
          <w:tcPr>
            <w:tcW w:w="70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106,540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135,337</w:t>
            </w: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162,694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178,538</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Restricted cash</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239,279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194,232</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14,655</w:t>
            </w:r>
          </w:p>
        </w:tc>
        <w:tc>
          <w:tcPr>
            <w:tcW w:w="0" w:type="dxa"/>
            <w:vAlign w:val="bottom"/>
          </w:tcPr>
          <w:p>
            <w:pPr>
              <w:spacing w:after="0"/>
              <w:rPr>
                <w:sz w:val="1"/>
                <w:szCs w:val="1"/>
                <w:color w:val="auto"/>
              </w:rPr>
            </w:pPr>
          </w:p>
        </w:tc>
      </w:tr>
      <w:tr>
        <w:trPr>
          <w:trHeight w:val="230"/>
        </w:trPr>
        <w:tc>
          <w:tcPr>
            <w:tcW w:w="7020" w:type="dxa"/>
            <w:vAlign w:val="bottom"/>
          </w:tcPr>
          <w:p>
            <w:pPr>
              <w:ind w:left="340"/>
              <w:spacing w:after="0"/>
              <w:rPr>
                <w:sz w:val="20"/>
                <w:szCs w:val="20"/>
                <w:color w:val="auto"/>
              </w:rPr>
            </w:pPr>
            <w:r>
              <w:rPr>
                <w:rFonts w:ascii="Arial" w:cs="Arial" w:eastAsia="Arial" w:hAnsi="Arial"/>
                <w:sz w:val="16"/>
                <w:szCs w:val="16"/>
                <w:color w:val="auto"/>
              </w:rPr>
              <w:t>Advance income tax,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15,199</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34,009</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572,618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578,144</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86,008</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75,147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76,692</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22,447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21,404</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81,082</w:t>
            </w:r>
          </w:p>
        </w:tc>
        <w:tc>
          <w:tcPr>
            <w:tcW w:w="0" w:type="dxa"/>
            <w:vAlign w:val="bottom"/>
          </w:tcPr>
          <w:p>
            <w:pPr>
              <w:spacing w:after="0"/>
              <w:rPr>
                <w:sz w:val="1"/>
                <w:szCs w:val="1"/>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404,561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403,902</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30,369</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 in equity affiliate</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1,274,549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1,282,904</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4,796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5,647</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long-term borrowings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260,016</w:t>
            </w:r>
          </w:p>
        </w:tc>
        <w:tc>
          <w:tcPr>
            <w:tcW w:w="0" w:type="dxa"/>
            <w:vAlign w:val="bottom"/>
          </w:tcPr>
          <w:p>
            <w:pPr>
              <w:spacing w:after="0"/>
              <w:rPr>
                <w:sz w:val="1"/>
                <w:szCs w:val="1"/>
                <w:color w:val="auto"/>
              </w:rPr>
            </w:pPr>
          </w:p>
        </w:tc>
      </w:tr>
      <w:tr>
        <w:trPr>
          <w:trHeight w:val="230"/>
        </w:trPr>
        <w:tc>
          <w:tcPr>
            <w:tcW w:w="702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22,571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employee costs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114,285</w:t>
            </w: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86,911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76,350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operating lease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18,487</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Income taxes payable, net</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222,121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495,686</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Arial" w:cs="Arial" w:eastAsia="Arial" w:hAnsi="Arial"/>
                <w:sz w:val="16"/>
                <w:szCs w:val="16"/>
                <w:color w:val="auto"/>
              </w:rPr>
              <w:t>Long-term borrowings, less current portion</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less current portion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68,506</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22,801</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574,208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589,748</w:t>
            </w:r>
          </w:p>
        </w:tc>
        <w:tc>
          <w:tcPr>
            <w:tcW w:w="0" w:type="dxa"/>
            <w:vAlign w:val="bottom"/>
          </w:tcPr>
          <w:p>
            <w:pPr>
              <w:spacing w:after="0"/>
              <w:rPr>
                <w:sz w:val="1"/>
                <w:szCs w:val="1"/>
                <w:color w:val="auto"/>
              </w:rPr>
            </w:pPr>
          </w:p>
        </w:tc>
      </w:tr>
      <w:tr>
        <w:trPr>
          <w:trHeight w:val="193"/>
        </w:trPr>
        <w:tc>
          <w:tcPr>
            <w:tcW w:w="702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22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3"/>
        </w:trPr>
        <w:tc>
          <w:tcPr>
            <w:tcW w:w="7020" w:type="dxa"/>
            <w:vAlign w:val="bottom"/>
          </w:tcPr>
          <w:p>
            <w:pPr>
              <w:ind w:left="340"/>
              <w:spacing w:after="0"/>
              <w:rPr>
                <w:sz w:val="20"/>
                <w:szCs w:val="20"/>
                <w:color w:val="auto"/>
              </w:rPr>
            </w:pPr>
            <w:r>
              <w:rPr>
                <w:rFonts w:ascii="Arial" w:cs="Arial" w:eastAsia="Arial" w:hAnsi="Arial"/>
                <w:sz w:val="16"/>
                <w:szCs w:val="16"/>
                <w:b w:val="1"/>
                <w:bCs w:val="1"/>
                <w:color w:val="auto"/>
              </w:rPr>
              <w:t>ExlService Holdings, Inc. Stockholders’ equity:</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020" w:type="dxa"/>
            <w:vAlign w:val="bottom"/>
            <w:shd w:val="clear" w:color="auto" w:fill="CCEEFF"/>
          </w:tcPr>
          <w:p>
            <w:pPr>
              <w:ind w:left="340"/>
              <w:spacing w:after="0" w:line="168" w:lineRule="exact"/>
              <w:rPr>
                <w:sz w:val="20"/>
                <w:szCs w:val="20"/>
                <w:color w:val="auto"/>
              </w:rPr>
            </w:pPr>
            <w:r>
              <w:rPr>
                <w:rFonts w:ascii="Arial" w:cs="Arial" w:eastAsia="Arial" w:hAnsi="Arial"/>
                <w:sz w:val="16"/>
                <w:szCs w:val="16"/>
                <w:color w:val="auto"/>
                <w:w w:val="96"/>
              </w:rPr>
              <w:t>Common stock, $0.001 par value; 100,000,000 shares authorized, 39,794,154 shares issued and</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ind w:left="340"/>
              <w:spacing w:after="0" w:line="162" w:lineRule="exact"/>
              <w:rPr>
                <w:sz w:val="20"/>
                <w:szCs w:val="20"/>
                <w:color w:val="auto"/>
              </w:rPr>
            </w:pPr>
            <w:r>
              <w:rPr>
                <w:rFonts w:ascii="Arial" w:cs="Arial" w:eastAsia="Arial" w:hAnsi="Arial"/>
                <w:sz w:val="16"/>
                <w:szCs w:val="16"/>
                <w:color w:val="auto"/>
                <w:w w:val="93"/>
              </w:rPr>
              <w:t>33,328,744 shares outstanding as of March 31, 2022 and 39,508,340 shares issued and 33,291,482</w:t>
            </w:r>
          </w:p>
        </w:tc>
        <w:tc>
          <w:tcPr>
            <w:tcW w:w="2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2"/>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shares outstanding as of December 31, 2021</w:t>
            </w:r>
          </w:p>
        </w:tc>
        <w:tc>
          <w:tcPr>
            <w:tcW w:w="2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34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406,966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395,742</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Retained earnings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756,137</w:t>
            </w:r>
          </w:p>
        </w:tc>
        <w:tc>
          <w:tcPr>
            <w:tcW w:w="0" w:type="dxa"/>
            <w:vAlign w:val="bottom"/>
          </w:tcPr>
          <w:p>
            <w:pPr>
              <w:spacing w:after="0"/>
              <w:rPr>
                <w:sz w:val="1"/>
                <w:szCs w:val="1"/>
                <w:color w:val="auto"/>
              </w:rPr>
            </w:pPr>
          </w:p>
        </w:tc>
      </w:tr>
      <w:tr>
        <w:trPr>
          <w:trHeight w:val="229"/>
        </w:trPr>
        <w:tc>
          <w:tcPr>
            <w:tcW w:w="70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(98,306)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(89,474)</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including shares held in treasury</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1,101,015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1,062,445</w:t>
            </w:r>
          </w:p>
        </w:tc>
        <w:tc>
          <w:tcPr>
            <w:tcW w:w="0" w:type="dxa"/>
            <w:vAlign w:val="bottom"/>
          </w:tcPr>
          <w:p>
            <w:pPr>
              <w:spacing w:after="0"/>
              <w:rPr>
                <w:sz w:val="1"/>
                <w:szCs w:val="1"/>
                <w:color w:val="auto"/>
              </w:rPr>
            </w:pPr>
          </w:p>
        </w:tc>
      </w:tr>
      <w:tr>
        <w:trPr>
          <w:trHeight w:val="146"/>
        </w:trPr>
        <w:tc>
          <w:tcPr>
            <w:tcW w:w="7020" w:type="dxa"/>
            <w:vAlign w:val="bottom"/>
          </w:tcPr>
          <w:p>
            <w:pPr>
              <w:ind w:left="20"/>
              <w:spacing w:after="0" w:line="146" w:lineRule="exact"/>
              <w:rPr>
                <w:sz w:val="20"/>
                <w:szCs w:val="20"/>
                <w:color w:val="auto"/>
              </w:rPr>
            </w:pPr>
            <w:r>
              <w:rPr>
                <w:rFonts w:ascii="Arial" w:cs="Arial" w:eastAsia="Arial" w:hAnsi="Arial"/>
                <w:sz w:val="16"/>
                <w:szCs w:val="16"/>
                <w:color w:val="auto"/>
                <w:w w:val="96"/>
              </w:rPr>
              <w:t>Less: 6,465,410 shares as of March 31, 2022 and 6,216,858 shares as of December 31, 2021, held in</w:t>
            </w:r>
          </w:p>
        </w:tc>
        <w:tc>
          <w:tcPr>
            <w:tcW w:w="2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(400,674)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(369,289)</w:t>
            </w:r>
          </w:p>
        </w:tc>
        <w:tc>
          <w:tcPr>
            <w:tcW w:w="0" w:type="dxa"/>
            <w:vAlign w:val="bottom"/>
          </w:tcPr>
          <w:p>
            <w:pPr>
              <w:spacing w:after="0"/>
              <w:rPr>
                <w:sz w:val="1"/>
                <w:szCs w:val="1"/>
                <w:color w:val="auto"/>
              </w:rPr>
            </w:pPr>
          </w:p>
        </w:tc>
      </w:tr>
      <w:tr>
        <w:trPr>
          <w:trHeight w:val="212"/>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treasury, at cost</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700,341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693,156</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equity</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700,341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693,156</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1,274,549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1,282,904</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360"/>
          </w:cols>
          <w:pgMar w:left="760" w:top="891" w:right="7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83" w:lineRule="exact"/>
        <w:rPr>
          <w:sz w:val="20"/>
          <w:szCs w:val="20"/>
          <w:color w:val="auto"/>
        </w:rPr>
      </w:pPr>
    </w:p>
    <w:p>
      <w:pPr>
        <w:ind w:firstLine="405"/>
        <w:spacing w:after="0" w:line="324" w:lineRule="auto"/>
        <w:rPr>
          <w:sz w:val="20"/>
          <w:szCs w:val="20"/>
          <w:color w:val="auto"/>
        </w:rPr>
      </w:pPr>
      <w:r>
        <w:rPr>
          <w:rFonts w:ascii="Arial" w:cs="Arial" w:eastAsia="Arial" w:hAnsi="Arial"/>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spacing w:after="0" w:line="89"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operating income and adjusted operating income margin;</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and adjusted EBITDA margin;</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net income and adjusted diluted earnings per share; and</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growth on an organic constant currency basis.</w:t>
      </w:r>
    </w:p>
    <w:p>
      <w:pPr>
        <w:spacing w:after="0" w:line="293" w:lineRule="exact"/>
        <w:rPr>
          <w:sz w:val="20"/>
          <w:szCs w:val="20"/>
          <w:color w:val="auto"/>
        </w:rPr>
      </w:pPr>
    </w:p>
    <w:p>
      <w:pPr>
        <w:jc w:val="both"/>
        <w:ind w:firstLine="405"/>
        <w:spacing w:after="0" w:line="340" w:lineRule="auto"/>
        <w:rPr>
          <w:sz w:val="20"/>
          <w:szCs w:val="20"/>
          <w:color w:val="auto"/>
        </w:rPr>
      </w:pPr>
      <w:r>
        <w:rPr>
          <w:rFonts w:ascii="Arial" w:cs="Arial" w:eastAsia="Arial" w:hAnsi="Arial"/>
          <w:sz w:val="16"/>
          <w:szCs w:val="16"/>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qualitative reconciliation thereof, for a number of reasons, including, without limitation, the Company’s inability to predict its future stock-based compensation expense under ASC Topic 718, the amortization of intangibles associated with further acquisitions and the currency fluctuations and associated tax impacts. As such, the Company presents guidance with respect to adjusted diluted earnings per share. The Company also incurs significant non-cash charges for depreciation that may not be indicative of the Company’s ability to generate cash flow.</w:t>
      </w:r>
    </w:p>
    <w:p>
      <w:pPr>
        <w:spacing w:after="0" w:line="193" w:lineRule="exact"/>
        <w:rPr>
          <w:sz w:val="20"/>
          <w:szCs w:val="20"/>
          <w:color w:val="auto"/>
        </w:rPr>
      </w:pPr>
    </w:p>
    <w:p>
      <w:pPr>
        <w:jc w:val="both"/>
        <w:ind w:firstLine="405"/>
        <w:spacing w:after="0" w:line="344" w:lineRule="auto"/>
        <w:rPr>
          <w:sz w:val="20"/>
          <w:szCs w:val="20"/>
          <w:color w:val="auto"/>
        </w:rPr>
      </w:pPr>
      <w:r>
        <w:rPr>
          <w:rFonts w:ascii="Arial" w:cs="Arial" w:eastAsia="Arial" w:hAnsi="Arial"/>
          <w:sz w:val="16"/>
          <w:szCs w:val="16"/>
          <w:color w:val="auto"/>
        </w:rPr>
        <w:t>EXL non-GAAP financial measures exclude, where applicable, stock-based compensation expense, amortization of acquisition-related intangible assets, impairment charges on acquired long-lived and intangible assets including goodwill, provision for litigation settlement, non-cash interest expense on convertible senior notes, gains or losses on settlement of convertible senior notes, restructuring charges, effects of termination of leases, other acquisition-related expenses or benefits and effect of any non-recurring tax adjustments. Acquisition-related expenses or benefits include, changes in the fair value of contingent consideration, external deal costs, integration expenses, direct and incremental travel costs and non-recurring benefits or losses. Our adjusted net income and adjusted diluted EPS also excludes the income tax impact of the above pre-tax items, as applicable. The income tax impact of each item is calculated by applying the statutory rate and local tax regulations in the jurisdiction in which the item was incurred.</w:t>
      </w:r>
    </w:p>
    <w:p>
      <w:pPr>
        <w:spacing w:after="0" w:line="193" w:lineRule="exact"/>
        <w:rPr>
          <w:sz w:val="20"/>
          <w:szCs w:val="20"/>
          <w:color w:val="auto"/>
        </w:rPr>
      </w:pPr>
    </w:p>
    <w:p>
      <w:pPr>
        <w:jc w:val="both"/>
        <w:ind w:firstLine="405"/>
        <w:spacing w:after="0" w:line="304" w:lineRule="auto"/>
        <w:rPr>
          <w:sz w:val="20"/>
          <w:szCs w:val="20"/>
          <w:color w:val="auto"/>
        </w:rPr>
      </w:pPr>
      <w:r>
        <w:rPr>
          <w:rFonts w:ascii="Arial" w:cs="Arial" w:eastAsia="Arial" w:hAnsi="Arial"/>
          <w:sz w:val="18"/>
          <w:szCs w:val="18"/>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215" w:lineRule="exact"/>
        <w:rPr>
          <w:sz w:val="20"/>
          <w:szCs w:val="20"/>
          <w:color w:val="auto"/>
        </w:rPr>
      </w:pPr>
    </w:p>
    <w:p>
      <w:pPr>
        <w:jc w:val="both"/>
        <w:ind w:firstLine="405"/>
        <w:spacing w:after="0" w:line="346" w:lineRule="auto"/>
        <w:rPr>
          <w:sz w:val="20"/>
          <w:szCs w:val="20"/>
          <w:color w:val="auto"/>
        </w:rPr>
      </w:pPr>
      <w:r>
        <w:rPr>
          <w:rFonts w:ascii="Arial" w:cs="Arial" w:eastAsia="Arial" w:hAnsi="Arial"/>
          <w:sz w:val="16"/>
          <w:szCs w:val="16"/>
          <w:color w:val="auto"/>
        </w:rPr>
        <w:t>The information provided on an organic constant currency basis reflects a comparison of current period results translated at the prior period currency rates and exclude the impact from an acquisition for a twelve-month period from the date of the acquisition. This information is provided because EXL believes that it provides useful comparative incremental information to investors regarding EXL’s true operating performance. EXL’s primary exchange rate exposure is with the Indian Rupee, the U.K. pound sterling and the Philippine Peso. The average exchange rate of the U.S. Dollar against the Indian Rupee increased from 73.17 during the quarter ended March 31, 2021 to 75.25 during the quarter ended March 31, 2022, representing an appreciation of 2.8%. The average exchange rate of the U.S. Dollar against the Philippine Peso increased from 48.39 during the quarter ended</w:t>
      </w:r>
    </w:p>
    <w:p>
      <w:pPr>
        <w:sectPr>
          <w:pgSz w:w="11900" w:h="16838" w:orient="portrait"/>
          <w:cols w:equalWidth="0" w:num="1">
            <w:col w:w="11240"/>
          </w:cols>
          <w:pgMar w:left="320" w:top="931" w:right="339" w:bottom="1440" w:gutter="0" w:footer="0" w:header="0"/>
        </w:sectPr>
      </w:pPr>
    </w:p>
    <w:bookmarkStart w:id="10" w:name="page11"/>
    <w:bookmarkEnd w:id="10"/>
    <w:p>
      <w:pPr>
        <w:jc w:val="both"/>
        <w:spacing w:after="0" w:line="310" w:lineRule="auto"/>
        <w:rPr>
          <w:sz w:val="20"/>
          <w:szCs w:val="20"/>
          <w:color w:val="auto"/>
        </w:rPr>
      </w:pPr>
      <w:r>
        <w:rPr>
          <w:rFonts w:ascii="Arial" w:cs="Arial" w:eastAsia="Arial" w:hAnsi="Arial"/>
          <w:sz w:val="18"/>
          <w:szCs w:val="18"/>
          <w:color w:val="auto"/>
        </w:rPr>
        <w:t>March 31, 2021 to 51.32 during the quarter ended March 31, 2022, representing an appreciation of 6.1%. The average exchange rate of the British Pound against the U.S. Dollar decreased from 1.38 during the quarter ended March 31, 2021 to 1.33 during the quarter ended March 31, 2022, representing an appreciation of 3.5%.</w:t>
      </w:r>
    </w:p>
    <w:p>
      <w:pPr>
        <w:spacing w:after="0" w:line="210" w:lineRule="exact"/>
        <w:rPr>
          <w:sz w:val="20"/>
          <w:szCs w:val="20"/>
          <w:color w:val="auto"/>
        </w:rPr>
      </w:pPr>
    </w:p>
    <w:p>
      <w:pPr>
        <w:jc w:val="both"/>
        <w:ind w:firstLine="405"/>
        <w:spacing w:after="0" w:line="324" w:lineRule="auto"/>
        <w:rPr>
          <w:sz w:val="20"/>
          <w:szCs w:val="20"/>
          <w:color w:val="auto"/>
        </w:rPr>
      </w:pPr>
      <w:r>
        <w:rPr>
          <w:rFonts w:ascii="Arial" w:cs="Arial" w:eastAsia="Arial" w:hAnsi="Arial"/>
          <w:sz w:val="18"/>
          <w:szCs w:val="18"/>
          <w:color w:val="auto"/>
        </w:rPr>
        <w:t>The following table shows the reconciliation of these non-GAAP financial measures for the three months ended March 31, 2022 and March 31, 2021, and the three months ended December 31, 2021: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w:t>
      </w:r>
    </w:p>
    <w:p>
      <w:pPr>
        <w:spacing w:after="0" w:line="130"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6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6"/>
                <w:szCs w:val="16"/>
                <w:b w:val="1"/>
                <w:bCs w:val="1"/>
                <w:color w:val="auto"/>
                <w:w w:val="91"/>
              </w:rPr>
              <w:t>Three months ended</w:t>
            </w: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0"/>
        </w:trPr>
        <w:tc>
          <w:tcPr>
            <w:tcW w:w="6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36,178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31,931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28,299</w:t>
            </w:r>
          </w:p>
        </w:tc>
        <w:tc>
          <w:tcPr>
            <w:tcW w:w="0" w:type="dxa"/>
            <w:vAlign w:val="bottom"/>
          </w:tcPr>
          <w:p>
            <w:pPr>
              <w:spacing w:after="0"/>
              <w:rPr>
                <w:sz w:val="1"/>
                <w:szCs w:val="1"/>
                <w:color w:val="auto"/>
              </w:rPr>
            </w:pPr>
          </w:p>
        </w:tc>
      </w:tr>
      <w:tr>
        <w:trPr>
          <w:trHeight w:val="213"/>
        </w:trPr>
        <w:tc>
          <w:tcPr>
            <w:tcW w:w="6180" w:type="dxa"/>
            <w:vAlign w:val="bottom"/>
          </w:tcPr>
          <w:p>
            <w:pPr>
              <w:ind w:left="340"/>
              <w:spacing w:after="0"/>
              <w:rPr>
                <w:sz w:val="20"/>
                <w:szCs w:val="20"/>
                <w:color w:val="auto"/>
              </w:rPr>
            </w:pPr>
            <w:r>
              <w:rPr>
                <w:rFonts w:ascii="Arial" w:cs="Arial" w:eastAsia="Arial" w:hAnsi="Arial"/>
                <w:sz w:val="16"/>
                <w:szCs w:val="16"/>
                <w:color w:val="auto"/>
              </w:rPr>
              <w:t>add: Income tax expense</w:t>
            </w:r>
          </w:p>
        </w:tc>
        <w:tc>
          <w:tcPr>
            <w:tcW w:w="30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11,202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8,958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9,831</w:t>
            </w:r>
          </w:p>
        </w:tc>
        <w:tc>
          <w:tcPr>
            <w:tcW w:w="0" w:type="dxa"/>
            <w:vAlign w:val="bottom"/>
          </w:tcPr>
          <w:p>
            <w:pPr>
              <w:spacing w:after="0"/>
              <w:rPr>
                <w:sz w:val="1"/>
                <w:szCs w:val="1"/>
                <w:color w:val="auto"/>
              </w:rPr>
            </w:pPr>
          </w:p>
        </w:tc>
      </w:tr>
      <w:tr>
        <w:trPr>
          <w:trHeight w:val="169"/>
        </w:trPr>
        <w:tc>
          <w:tcPr>
            <w:tcW w:w="6180" w:type="dxa"/>
            <w:vAlign w:val="bottom"/>
            <w:shd w:val="clear" w:color="auto" w:fill="CCEEFF"/>
          </w:tcPr>
          <w:p>
            <w:pPr>
              <w:ind w:left="340"/>
              <w:spacing w:after="0" w:line="169" w:lineRule="exact"/>
              <w:rPr>
                <w:sz w:val="20"/>
                <w:szCs w:val="20"/>
                <w:color w:val="auto"/>
              </w:rPr>
            </w:pPr>
            <w:r>
              <w:rPr>
                <w:rFonts w:ascii="Arial" w:cs="Arial" w:eastAsia="Arial" w:hAnsi="Arial"/>
                <w:sz w:val="16"/>
                <w:szCs w:val="16"/>
                <w:color w:val="auto"/>
              </w:rPr>
              <w:t>add/(subtract): Foreign exchange gain, interest expense, effects of equity-method</w:t>
            </w:r>
          </w:p>
        </w:tc>
        <w:tc>
          <w:tcPr>
            <w:tcW w:w="30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(3,405)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(2,072)</w:t>
            </w: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 and other income, net</w:t>
            </w: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 (GAAP)</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43,975</w:t>
            </w:r>
          </w:p>
        </w:tc>
        <w:tc>
          <w:tcPr>
            <w:tcW w:w="10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rPr>
              <w:t>41,555</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36,058</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 Stock-based compensation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11,224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7,832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9,825</w:t>
            </w:r>
          </w:p>
        </w:tc>
        <w:tc>
          <w:tcPr>
            <w:tcW w:w="0" w:type="dxa"/>
            <w:vAlign w:val="bottom"/>
          </w:tcPr>
          <w:p>
            <w:pPr>
              <w:spacing w:after="0"/>
              <w:rPr>
                <w:sz w:val="1"/>
                <w:szCs w:val="1"/>
                <w:color w:val="auto"/>
              </w:rPr>
            </w:pPr>
          </w:p>
        </w:tc>
      </w:tr>
      <w:tr>
        <w:trPr>
          <w:trHeight w:val="213"/>
        </w:trPr>
        <w:tc>
          <w:tcPr>
            <w:tcW w:w="6180" w:type="dxa"/>
            <w:vAlign w:val="bottom"/>
          </w:tcPr>
          <w:p>
            <w:pPr>
              <w:ind w:left="340"/>
              <w:spacing w:after="0"/>
              <w:rPr>
                <w:sz w:val="20"/>
                <w:szCs w:val="20"/>
                <w:color w:val="auto"/>
              </w:rPr>
            </w:pPr>
            <w:r>
              <w:rPr>
                <w:rFonts w:ascii="Arial" w:cs="Arial" w:eastAsia="Arial" w:hAnsi="Arial"/>
                <w:sz w:val="16"/>
                <w:szCs w:val="16"/>
                <w:color w:val="auto"/>
              </w:rPr>
              <w:t>add: Amortization of acquisition-related intangibles</w:t>
            </w:r>
          </w:p>
        </w:tc>
        <w:tc>
          <w:tcPr>
            <w:tcW w:w="30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4,486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3,361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2,998</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 Other expenses (a)</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07"/>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Adjusted operating income (Non-GAAP)</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59,819</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52,748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50,193</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Adjusted operating income margin as a % of Revenues (Non-GAAP)</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18.2 %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20.2 %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17.0 %</w:t>
            </w:r>
          </w:p>
        </w:tc>
        <w:tc>
          <w:tcPr>
            <w:tcW w:w="0" w:type="dxa"/>
            <w:vAlign w:val="bottom"/>
          </w:tcPr>
          <w:p>
            <w:pPr>
              <w:spacing w:after="0"/>
              <w:rPr>
                <w:sz w:val="1"/>
                <w:szCs w:val="1"/>
                <w:color w:val="auto"/>
              </w:rPr>
            </w:pPr>
          </w:p>
        </w:tc>
      </w:tr>
      <w:tr>
        <w:trPr>
          <w:trHeight w:val="213"/>
        </w:trPr>
        <w:tc>
          <w:tcPr>
            <w:tcW w:w="61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add: Depreciation on long-lived assets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9,116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8,740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9,418</w:t>
            </w:r>
          </w:p>
        </w:tc>
        <w:tc>
          <w:tcPr>
            <w:tcW w:w="0" w:type="dxa"/>
            <w:vAlign w:val="bottom"/>
          </w:tcPr>
          <w:p>
            <w:pPr>
              <w:spacing w:after="0"/>
              <w:rPr>
                <w:sz w:val="1"/>
                <w:szCs w:val="1"/>
                <w:color w:val="auto"/>
              </w:rPr>
            </w:pPr>
          </w:p>
        </w:tc>
      </w:tr>
      <w:tr>
        <w:trPr>
          <w:trHeight w:val="235"/>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68,935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61,488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59,611</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Adjusted EBITDA margin as a % of revenue (Non-GAAP)</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1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20.9 %</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23.5 %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i w:val="1"/>
                <w:iCs w:val="1"/>
                <w:color w:val="auto"/>
              </w:rPr>
              <w:t>20.2 %</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500" w:right="80" w:hanging="249"/>
        <w:spacing w:after="0" w:line="243" w:lineRule="auto"/>
        <w:tabs>
          <w:tab w:leader="none" w:pos="486"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acquisition-related expenses of $134 for the acquisition of Clairvoyant AI Inc. (“Clairvoyant”) during the three months ended March 31, 2022, and $761 during the three months ended December 31, 2021, and to exclude the impact of $551 on account of effects of lease termination during the three months ended December 31, 2021.</w:t>
      </w:r>
    </w:p>
    <w:p>
      <w:pPr>
        <w:sectPr>
          <w:pgSz w:w="11900" w:h="16838" w:orient="portrait"/>
          <w:cols w:equalWidth="0" w:num="1">
            <w:col w:w="11240"/>
          </w:cols>
          <w:pgMar w:left="320" w:top="922"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thousands, except per share data)</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59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6"/>
              </w:rPr>
              <w:t>Three months ended</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0"/>
        </w:trPr>
        <w:tc>
          <w:tcPr>
            <w:tcW w:w="59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5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income (GAAP)</w:t>
            </w: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36,178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31,931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28,299</w:t>
            </w:r>
          </w:p>
        </w:tc>
        <w:tc>
          <w:tcPr>
            <w:tcW w:w="0" w:type="dxa"/>
            <w:vAlign w:val="bottom"/>
          </w:tcPr>
          <w:p>
            <w:pPr>
              <w:spacing w:after="0"/>
              <w:rPr>
                <w:sz w:val="1"/>
                <w:szCs w:val="1"/>
                <w:color w:val="auto"/>
              </w:rPr>
            </w:pPr>
          </w:p>
        </w:tc>
      </w:tr>
      <w:tr>
        <w:trPr>
          <w:trHeight w:val="213"/>
        </w:trPr>
        <w:tc>
          <w:tcPr>
            <w:tcW w:w="5940" w:type="dxa"/>
            <w:vAlign w:val="bottom"/>
          </w:tcPr>
          <w:p>
            <w:pPr>
              <w:spacing w:after="0"/>
              <w:rPr>
                <w:sz w:val="20"/>
                <w:szCs w:val="20"/>
                <w:color w:val="auto"/>
              </w:rPr>
            </w:pPr>
            <w:r>
              <w:rPr>
                <w:rFonts w:ascii="Arial" w:cs="Arial" w:eastAsia="Arial" w:hAnsi="Arial"/>
                <w:sz w:val="16"/>
                <w:szCs w:val="16"/>
                <w:color w:val="auto"/>
              </w:rPr>
              <w:t>add: Stock-based compensation expense</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11,224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9,825</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add: Amortization of acquisition-related intangibles</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w:t>
            </w:r>
          </w:p>
        </w:tc>
        <w:tc>
          <w:tcPr>
            <w:tcW w:w="0" w:type="dxa"/>
            <w:vAlign w:val="bottom"/>
          </w:tcPr>
          <w:p>
            <w:pPr>
              <w:spacing w:after="0"/>
              <w:rPr>
                <w:sz w:val="1"/>
                <w:szCs w:val="1"/>
                <w:color w:val="auto"/>
              </w:rPr>
            </w:pPr>
          </w:p>
        </w:tc>
      </w:tr>
      <w:tr>
        <w:trPr>
          <w:trHeight w:val="226"/>
        </w:trPr>
        <w:tc>
          <w:tcPr>
            <w:tcW w:w="5940" w:type="dxa"/>
            <w:vAlign w:val="bottom"/>
          </w:tcPr>
          <w:p>
            <w:pPr>
              <w:spacing w:after="0"/>
              <w:rPr>
                <w:sz w:val="20"/>
                <w:szCs w:val="20"/>
                <w:color w:val="auto"/>
              </w:rPr>
            </w:pPr>
            <w:r>
              <w:rPr>
                <w:rFonts w:ascii="Arial" w:cs="Arial" w:eastAsia="Arial" w:hAnsi="Arial"/>
                <w:sz w:val="16"/>
                <w:szCs w:val="16"/>
                <w:color w:val="auto"/>
              </w:rPr>
              <w:t>add: Non-cash interest expense related to convertible senior notes</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add: Other expenses (a)</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27"/>
        </w:trPr>
        <w:tc>
          <w:tcPr>
            <w:tcW w:w="5940" w:type="dxa"/>
            <w:vAlign w:val="bottom"/>
          </w:tcPr>
          <w:p>
            <w:pPr>
              <w:spacing w:after="0"/>
              <w:rPr>
                <w:sz w:val="20"/>
                <w:szCs w:val="20"/>
                <w:color w:val="auto"/>
              </w:rPr>
            </w:pPr>
            <w:r>
              <w:rPr>
                <w:rFonts w:ascii="Arial" w:cs="Arial" w:eastAsia="Arial" w:hAnsi="Arial"/>
                <w:sz w:val="16"/>
                <w:szCs w:val="16"/>
                <w:color w:val="auto"/>
              </w:rPr>
              <w:t>add: Effect of non-recurring tax expenses (b)</w:t>
            </w:r>
          </w:p>
        </w:tc>
        <w:tc>
          <w:tcPr>
            <w:tcW w:w="8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2,168</w:t>
            </w:r>
          </w:p>
        </w:tc>
        <w:tc>
          <w:tcPr>
            <w:tcW w:w="0" w:type="dxa"/>
            <w:vAlign w:val="bottom"/>
          </w:tcPr>
          <w:p>
            <w:pPr>
              <w:spacing w:after="0"/>
              <w:rPr>
                <w:sz w:val="1"/>
                <w:szCs w:val="1"/>
                <w:color w:val="auto"/>
              </w:rPr>
            </w:pPr>
          </w:p>
        </w:tc>
      </w:tr>
      <w:tr>
        <w:trPr>
          <w:trHeight w:val="219"/>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subtract: Tax impact on stock-based compensation expense (c)</w:t>
            </w:r>
          </w:p>
        </w:tc>
        <w:tc>
          <w:tcPr>
            <w:tcW w:w="8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(2,806)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(2,406)</w:t>
            </w:r>
          </w:p>
        </w:tc>
        <w:tc>
          <w:tcPr>
            <w:tcW w:w="0" w:type="dxa"/>
            <w:vAlign w:val="bottom"/>
          </w:tcPr>
          <w:p>
            <w:pPr>
              <w:spacing w:after="0"/>
              <w:rPr>
                <w:sz w:val="1"/>
                <w:szCs w:val="1"/>
                <w:color w:val="auto"/>
              </w:rPr>
            </w:pPr>
          </w:p>
        </w:tc>
      </w:tr>
      <w:tr>
        <w:trPr>
          <w:trHeight w:val="213"/>
        </w:trPr>
        <w:tc>
          <w:tcPr>
            <w:tcW w:w="5940" w:type="dxa"/>
            <w:vAlign w:val="bottom"/>
          </w:tcPr>
          <w:p>
            <w:pPr>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4"/>
              </w:rPr>
              <w:t>(1,052)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(770)</w:t>
            </w:r>
          </w:p>
        </w:tc>
        <w:tc>
          <w:tcPr>
            <w:tcW w:w="0" w:type="dxa"/>
            <w:vAlign w:val="bottom"/>
          </w:tcPr>
          <w:p>
            <w:pPr>
              <w:spacing w:after="0"/>
              <w:rPr>
                <w:sz w:val="1"/>
                <w:szCs w:val="1"/>
                <w:color w:val="auto"/>
              </w:rPr>
            </w:pPr>
          </w:p>
        </w:tc>
      </w:tr>
      <w:tr>
        <w:trPr>
          <w:trHeight w:val="232"/>
        </w:trPr>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w w:val="98"/>
              </w:rPr>
              <w:t>subtract: Tax impact on non-cash interest expense related to convertible senior notes</w:t>
            </w:r>
          </w:p>
        </w:tc>
        <w:tc>
          <w:tcPr>
            <w:tcW w:w="86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13"/>
        </w:trPr>
        <w:tc>
          <w:tcPr>
            <w:tcW w:w="5940" w:type="dxa"/>
            <w:vAlign w:val="bottom"/>
          </w:tcPr>
          <w:p>
            <w:pPr>
              <w:spacing w:after="0"/>
              <w:rPr>
                <w:sz w:val="20"/>
                <w:szCs w:val="20"/>
                <w:color w:val="auto"/>
              </w:rPr>
            </w:pPr>
            <w:r>
              <w:rPr>
                <w:rFonts w:ascii="Arial" w:cs="Arial" w:eastAsia="Arial" w:hAnsi="Arial"/>
                <w:sz w:val="16"/>
                <w:szCs w:val="16"/>
                <w:color w:val="auto"/>
              </w:rPr>
              <w:t>subtract: Tax impact on other expenses</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5"/>
        </w:trPr>
        <w:tc>
          <w:tcPr>
            <w:tcW w:w="59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Adjusted net income (Non-GAAP)</w:t>
            </w:r>
          </w:p>
        </w:tc>
        <w:tc>
          <w:tcPr>
            <w:tcW w:w="860" w:type="dxa"/>
            <w:vAlign w:val="bottom"/>
            <w:tcBorders>
              <w:top w:val="single" w:sz="8" w:color="auto"/>
              <w:bottom w:val="single" w:sz="8" w:color="auto"/>
            </w:tcBorders>
            <w:shd w:val="clear" w:color="auto" w:fill="CCEEFF"/>
          </w:tcPr>
          <w:p>
            <w:pPr>
              <w:jc w:val="right"/>
              <w:ind w:right="703"/>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48,164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40,519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41,170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6"/>
                <w:szCs w:val="16"/>
                <w:b w:val="1"/>
                <w:bCs w:val="1"/>
                <w:color w:val="auto"/>
              </w:rPr>
              <w:t>Adjusted diluted earnings per share (Non-GAAP)</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40" w:type="dxa"/>
            <w:vAlign w:val="bottom"/>
            <w:vMerge w:val="continue"/>
          </w:tcPr>
          <w:p>
            <w:pPr>
              <w:spacing w:after="0"/>
              <w:rPr>
                <w:sz w:val="16"/>
                <w:szCs w:val="16"/>
                <w:color w:val="auto"/>
              </w:rPr>
            </w:pPr>
          </w:p>
        </w:tc>
        <w:tc>
          <w:tcPr>
            <w:tcW w:w="860" w:type="dxa"/>
            <w:vAlign w:val="bottom"/>
          </w:tcPr>
          <w:p>
            <w:pPr>
              <w:jc w:val="right"/>
              <w:ind w:right="70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1.42</w:t>
            </w:r>
          </w:p>
        </w:tc>
        <w:tc>
          <w:tcPr>
            <w:tcW w:w="52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bl>
    <w:p>
      <w:pPr>
        <w:spacing w:after="0" w:line="307" w:lineRule="exact"/>
        <w:rPr>
          <w:sz w:val="20"/>
          <w:szCs w:val="20"/>
          <w:color w:val="auto"/>
        </w:rPr>
      </w:pPr>
    </w:p>
    <w:p>
      <w:pPr>
        <w:jc w:val="both"/>
        <w:ind w:left="500" w:hanging="249"/>
        <w:spacing w:after="0" w:line="243" w:lineRule="auto"/>
        <w:tabs>
          <w:tab w:leader="none" w:pos="486"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acquisition-related expenses of $134 for the acquisition of Clairvoyant AI Inc. (“Clairvoyant”) during the three months ended March 31, 2022, and $761 during the three months ended December 31, 2021, and to exclude the impact of $551 on account of effects of lease termination during the three months ended December 31, 2021.</w:t>
      </w:r>
    </w:p>
    <w:p>
      <w:pPr>
        <w:spacing w:after="0" w:line="210" w:lineRule="exact"/>
        <w:rPr>
          <w:rFonts w:ascii="Arial" w:cs="Arial" w:eastAsia="Arial" w:hAnsi="Arial"/>
          <w:sz w:val="16"/>
          <w:szCs w:val="16"/>
          <w:i w:val="1"/>
          <w:iCs w:val="1"/>
          <w:color w:val="auto"/>
        </w:rPr>
      </w:pPr>
    </w:p>
    <w:p>
      <w:pPr>
        <w:ind w:left="480" w:hanging="229"/>
        <w:spacing w:after="0"/>
        <w:tabs>
          <w:tab w:leader="none" w:pos="48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non-recurring tax expense related to certain deferred tax assets and liabilities.</w:t>
      </w:r>
    </w:p>
    <w:p>
      <w:pPr>
        <w:spacing w:after="0" w:line="234" w:lineRule="exact"/>
        <w:rPr>
          <w:rFonts w:ascii="Arial" w:cs="Arial" w:eastAsia="Arial" w:hAnsi="Arial"/>
          <w:sz w:val="16"/>
          <w:szCs w:val="16"/>
          <w:i w:val="1"/>
          <w:iCs w:val="1"/>
          <w:color w:val="auto"/>
        </w:rPr>
      </w:pPr>
    </w:p>
    <w:p>
      <w:pPr>
        <w:ind w:left="500" w:hanging="249"/>
        <w:spacing w:after="0" w:line="291" w:lineRule="auto"/>
        <w:tabs>
          <w:tab w:leader="none" w:pos="478" w:val="left"/>
        </w:tabs>
        <w:numPr>
          <w:ilvl w:val="0"/>
          <w:numId w:val="12"/>
        </w:numPr>
        <w:rPr>
          <w:rFonts w:ascii="Arial" w:cs="Arial" w:eastAsia="Arial" w:hAnsi="Arial"/>
          <w:sz w:val="15"/>
          <w:szCs w:val="15"/>
          <w:i w:val="1"/>
          <w:iCs w:val="1"/>
          <w:color w:val="auto"/>
        </w:rPr>
      </w:pPr>
      <w:r>
        <w:rPr>
          <w:rFonts w:ascii="Arial" w:cs="Arial" w:eastAsia="Arial" w:hAnsi="Arial"/>
          <w:sz w:val="15"/>
          <w:szCs w:val="15"/>
          <w:i w:val="1"/>
          <w:iCs w:val="1"/>
          <w:color w:val="auto"/>
        </w:rPr>
        <w:t>Tax impact includes $3,610 and $931 during the three months ended March 31, 2022 and 2021 respectively, and $2,095 during the three months ended December 31, 2021, related to discrete benefits recognized in income tax expense on adoption of ASU No. 2016-09, Compensation -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9880" w:firstLine="8"/>
        <w:spacing w:after="0" w:line="323" w:lineRule="auto"/>
        <w:tabs>
          <w:tab w:leader="none" w:pos="4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596-7684 </w:t>
      </w:r>
      <w:r>
        <w:rPr>
          <w:rFonts w:ascii="Arial" w:cs="Arial" w:eastAsia="Arial" w:hAnsi="Arial"/>
          <w:sz w:val="16"/>
          <w:szCs w:val="16"/>
          <w:u w:val="single" w:color="auto"/>
          <w:color w:val="0000FF"/>
        </w:rPr>
        <w:t>ir@exlservice.com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 US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Cindy Carpenter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617-504-8620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Cindy.carpenter@exlservice.com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 Europe, India and APAC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Shailendra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+91-98104-76075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shailendra.singh@exlservice.com</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lowerRoman"/>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decimal"/>
      <w:start w:val="9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2022-04-28T05:35:00Z</dcterms:created>
  <dcterms:modified xsi:type="dcterms:W3CDTF">2022-04-28T05:35:00Z</dcterms:modified>
</cp:coreProperties>
</file>