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0000FF"/>
              </w:rPr>
              <w:t>01/30/2017</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rPr>
                <w:sz w:val="20"/>
                <w:szCs w:val="20"/>
                <w:color w:val="auto"/>
              </w:rPr>
            </w:pPr>
            <w:r>
              <w:rPr>
                <w:rFonts w:ascii="Arial" w:cs="Arial" w:eastAsia="Arial" w:hAnsi="Arial"/>
                <w:sz w:val="18"/>
                <w:szCs w:val="18"/>
                <w:color w:val="0000FF"/>
              </w:rPr>
              <w:t>17,289</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119,559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01/30/2017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6,145</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46.45</w:t>
            </w:r>
            <w:r>
              <w:rPr>
                <w:rFonts w:ascii="Arial" w:cs="Arial" w:eastAsia="Arial" w:hAnsi="Arial"/>
                <w:sz w:val="22"/>
                <w:szCs w:val="22"/>
                <w:color w:val="008000"/>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113,414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13, 2014 and voluntarily reported in a Form 4 filed on February 18, 2014.</w:t>
      </w:r>
    </w:p>
    <w:p>
      <w:pPr>
        <w:spacing w:after="0" w:line="30" w:lineRule="exact"/>
        <w:rPr>
          <w:rFonts w:ascii="Arial" w:cs="Arial" w:eastAsia="Arial" w:hAnsi="Arial"/>
          <w:sz w:val="14"/>
          <w:szCs w:val="14"/>
          <w:color w:val="008000"/>
        </w:rPr>
      </w:pP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reported in this report were deemed earned on January 30, 2017 based on the Compensation Committee of the Board of Directors administering the award certifying the achievement of performance targets applicable to the PRSUs for the performance period ending on December 31, 2016. Pursuant to the agreement governing the grant of the PRSUs and pursuant to the Company's 2006 Omnibus Award Plan, pursuant to which such PRSUs were granted, the closing price of the Common Stock on the Nasdaq Global Select Market on the preceding day, January 27, 2017 in this case, is used for purposes of computing tax reporting and withholding..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2019-12-04T00:59:22Z</dcterms:created>
  <dcterms:modified xsi:type="dcterms:W3CDTF">2019-12-04T00:59:22Z</dcterms:modified>
</cp:coreProperties>
</file>